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CFA" w:rsidRPr="001F6809" w:rsidRDefault="002C3CFA" w:rsidP="001F6809">
      <w:pPr>
        <w:tabs>
          <w:tab w:val="left" w:pos="2233"/>
          <w:tab w:val="right" w:pos="9072"/>
        </w:tabs>
        <w:spacing w:after="600"/>
        <w:jc w:val="both"/>
        <w:rPr>
          <w:rFonts w:ascii="Arial" w:hAnsi="Arial" w:cs="Arial"/>
          <w:b/>
          <w:sz w:val="22"/>
          <w:szCs w:val="22"/>
        </w:rPr>
      </w:pPr>
      <w:bookmarkStart w:id="0" w:name="_GoBack"/>
      <w:bookmarkEnd w:id="0"/>
      <w:r w:rsidRPr="001F6809">
        <w:rPr>
          <w:rFonts w:ascii="Arial" w:hAnsi="Arial" w:cs="Arial"/>
          <w:b/>
          <w:bCs/>
          <w:sz w:val="22"/>
          <w:szCs w:val="22"/>
        </w:rPr>
        <w:tab/>
      </w:r>
      <w:r w:rsidRPr="001F6809">
        <w:rPr>
          <w:rFonts w:ascii="Arial" w:hAnsi="Arial" w:cs="Arial"/>
          <w:b/>
          <w:bCs/>
          <w:sz w:val="22"/>
          <w:szCs w:val="22"/>
        </w:rPr>
        <w:tab/>
        <w:t>III.</w:t>
      </w:r>
    </w:p>
    <w:p w:rsidR="002C3CFA" w:rsidRPr="001F6809" w:rsidRDefault="002C3CFA" w:rsidP="001F6809">
      <w:pPr>
        <w:jc w:val="both"/>
        <w:rPr>
          <w:rFonts w:ascii="Arial" w:hAnsi="Arial" w:cs="Arial"/>
          <w:b/>
          <w:sz w:val="22"/>
          <w:szCs w:val="22"/>
        </w:rPr>
      </w:pPr>
      <w:r w:rsidRPr="001F6809">
        <w:rPr>
          <w:rFonts w:ascii="Arial" w:hAnsi="Arial" w:cs="Arial"/>
          <w:b/>
          <w:sz w:val="22"/>
          <w:szCs w:val="22"/>
        </w:rPr>
        <w:t xml:space="preserve">Stanovisko Ministerstva financí </w:t>
      </w:r>
      <w:r>
        <w:rPr>
          <w:rFonts w:ascii="Arial" w:hAnsi="Arial" w:cs="Arial"/>
          <w:b/>
          <w:sz w:val="22"/>
          <w:szCs w:val="22"/>
        </w:rPr>
        <w:t>a Generální finančního ředitelství (dále též „GFŘ“)</w:t>
      </w:r>
      <w:r w:rsidRPr="001F6809">
        <w:rPr>
          <w:rFonts w:ascii="Arial" w:hAnsi="Arial" w:cs="Arial"/>
          <w:b/>
          <w:sz w:val="22"/>
          <w:szCs w:val="22"/>
        </w:rPr>
        <w:t xml:space="preserve"> ke Kontrolnímu závěru Nejvyššího kontrolního úřadu z kontrolní akce č. 15/15 – „</w:t>
      </w:r>
      <w:r w:rsidRPr="001F6809">
        <w:rPr>
          <w:rFonts w:ascii="Arial" w:hAnsi="Arial" w:cs="Arial"/>
          <w:b/>
          <w:bCs/>
          <w:sz w:val="22"/>
          <w:szCs w:val="22"/>
        </w:rPr>
        <w:t>Zdaňování nemovitostí, převodu nemovitostí a majetku nabytého děděním a</w:t>
      </w:r>
      <w:r>
        <w:rPr>
          <w:rFonts w:ascii="Arial" w:hAnsi="Arial" w:cs="Arial"/>
          <w:b/>
          <w:bCs/>
          <w:sz w:val="22"/>
          <w:szCs w:val="22"/>
        </w:rPr>
        <w:t> </w:t>
      </w:r>
      <w:r w:rsidRPr="001F6809">
        <w:rPr>
          <w:rFonts w:ascii="Arial" w:hAnsi="Arial" w:cs="Arial"/>
          <w:b/>
          <w:bCs/>
          <w:sz w:val="22"/>
          <w:szCs w:val="22"/>
        </w:rPr>
        <w:t>darováním</w:t>
      </w:r>
      <w:r>
        <w:rPr>
          <w:rFonts w:ascii="Arial" w:hAnsi="Arial" w:cs="Arial"/>
          <w:b/>
          <w:bCs/>
          <w:sz w:val="22"/>
          <w:szCs w:val="22"/>
        </w:rPr>
        <w:t>“</w:t>
      </w:r>
      <w:r w:rsidRPr="001F6809">
        <w:rPr>
          <w:rFonts w:ascii="Arial" w:hAnsi="Arial" w:cs="Arial"/>
          <w:b/>
          <w:sz w:val="22"/>
          <w:szCs w:val="22"/>
        </w:rPr>
        <w:t xml:space="preserve"> (dále jen</w:t>
      </w:r>
      <w:r w:rsidRPr="001F6809">
        <w:rPr>
          <w:rFonts w:ascii="Arial" w:hAnsi="Arial" w:cs="Arial"/>
          <w:b/>
          <w:noProof/>
          <w:sz w:val="22"/>
          <w:szCs w:val="22"/>
        </w:rPr>
        <w:t xml:space="preserve"> „Stanovisko“)</w:t>
      </w:r>
    </w:p>
    <w:p w:rsidR="002C3CFA" w:rsidRPr="001F6809" w:rsidRDefault="002C3CFA" w:rsidP="001F6809">
      <w:pPr>
        <w:autoSpaceDE w:val="0"/>
        <w:autoSpaceDN w:val="0"/>
        <w:adjustRightInd w:val="0"/>
        <w:jc w:val="both"/>
        <w:rPr>
          <w:rFonts w:ascii="Arial" w:hAnsi="Arial" w:cs="Arial"/>
          <w:sz w:val="22"/>
          <w:szCs w:val="22"/>
        </w:rPr>
      </w:pPr>
    </w:p>
    <w:p w:rsidR="002C3CFA" w:rsidRPr="001F6809" w:rsidRDefault="002C3CFA" w:rsidP="001F6809">
      <w:pPr>
        <w:numPr>
          <w:ilvl w:val="0"/>
          <w:numId w:val="1"/>
        </w:numPr>
        <w:autoSpaceDE w:val="0"/>
        <w:autoSpaceDN w:val="0"/>
        <w:adjustRightInd w:val="0"/>
        <w:ind w:left="426" w:hanging="426"/>
        <w:jc w:val="both"/>
        <w:outlineLvl w:val="0"/>
        <w:rPr>
          <w:rFonts w:ascii="Arial" w:hAnsi="Arial" w:cs="Arial"/>
          <w:b/>
          <w:sz w:val="22"/>
          <w:szCs w:val="22"/>
          <w:u w:val="single"/>
        </w:rPr>
      </w:pPr>
      <w:r w:rsidRPr="001F6809">
        <w:rPr>
          <w:rFonts w:ascii="Arial" w:hAnsi="Arial" w:cs="Arial"/>
          <w:b/>
          <w:sz w:val="22"/>
          <w:szCs w:val="22"/>
          <w:u w:val="single"/>
        </w:rPr>
        <w:t>Úvod</w:t>
      </w:r>
    </w:p>
    <w:p w:rsidR="002C3CFA" w:rsidRPr="001F6809" w:rsidRDefault="002C3CFA" w:rsidP="001F6809">
      <w:pPr>
        <w:autoSpaceDE w:val="0"/>
        <w:autoSpaceDN w:val="0"/>
        <w:adjustRightInd w:val="0"/>
        <w:jc w:val="both"/>
        <w:outlineLvl w:val="0"/>
        <w:rPr>
          <w:rFonts w:ascii="Arial" w:hAnsi="Arial" w:cs="Arial"/>
          <w:b/>
          <w:sz w:val="22"/>
          <w:szCs w:val="22"/>
          <w:highlight w:val="yellow"/>
          <w:u w:val="single"/>
        </w:rPr>
      </w:pPr>
    </w:p>
    <w:p w:rsidR="002C3CFA" w:rsidRPr="001F6809" w:rsidRDefault="002C3CFA" w:rsidP="001F6809">
      <w:pPr>
        <w:autoSpaceDE w:val="0"/>
        <w:autoSpaceDN w:val="0"/>
        <w:adjustRightInd w:val="0"/>
        <w:jc w:val="both"/>
        <w:outlineLvl w:val="0"/>
        <w:rPr>
          <w:rFonts w:ascii="Arial" w:hAnsi="Arial" w:cs="Arial"/>
          <w:b/>
          <w:sz w:val="22"/>
          <w:szCs w:val="22"/>
          <w:highlight w:val="yellow"/>
          <w:u w:val="single"/>
        </w:rPr>
      </w:pPr>
    </w:p>
    <w:p w:rsidR="002C3CFA" w:rsidRPr="00537D34" w:rsidRDefault="002C3CFA" w:rsidP="00537D34">
      <w:pPr>
        <w:autoSpaceDE w:val="0"/>
        <w:autoSpaceDN w:val="0"/>
        <w:adjustRightInd w:val="0"/>
        <w:jc w:val="both"/>
        <w:rPr>
          <w:rFonts w:ascii="Arial" w:hAnsi="Arial" w:cs="Arial"/>
          <w:bCs/>
          <w:sz w:val="22"/>
          <w:szCs w:val="22"/>
        </w:rPr>
      </w:pPr>
      <w:r w:rsidRPr="005E6C4A">
        <w:rPr>
          <w:rFonts w:ascii="Arial" w:hAnsi="Arial" w:cs="Arial"/>
          <w:sz w:val="22"/>
          <w:szCs w:val="22"/>
        </w:rPr>
        <w:t xml:space="preserve">Nejvyšší kontrolní úřad (dále též „NKÚ“) provedl kontrolní akci č. 15/15 – „Zdaňování </w:t>
      </w:r>
      <w:r w:rsidRPr="00537D34">
        <w:rPr>
          <w:rFonts w:ascii="Arial" w:hAnsi="Arial" w:cs="Arial"/>
          <w:sz w:val="22"/>
          <w:szCs w:val="22"/>
        </w:rPr>
        <w:t xml:space="preserve">nemovitostí, převodu nemovitostí a majetku nabytého děděním a darováním“ (dále též „kontrolní akce NKÚ č. 15/15“). </w:t>
      </w:r>
      <w:r w:rsidRPr="00537D34">
        <w:rPr>
          <w:rFonts w:ascii="Arial" w:hAnsi="Arial" w:cs="Arial"/>
          <w:bCs/>
          <w:sz w:val="22"/>
          <w:szCs w:val="22"/>
        </w:rPr>
        <w:t>Cílem kontroly bylo prověřit postup finančních orgánů při správě majetkových daní, tj. daně z nemovitostí (od 1. 1. 2014 daně z nemovitých věcí), daně z převodu nemovitostí (od 1. 1. 2014 daně z nabytí nemovitých věcí), daně dědické</w:t>
      </w:r>
      <w:r>
        <w:rPr>
          <w:rFonts w:ascii="Arial" w:hAnsi="Arial" w:cs="Arial"/>
          <w:bCs/>
          <w:sz w:val="22"/>
          <w:szCs w:val="22"/>
        </w:rPr>
        <w:t xml:space="preserve"> a </w:t>
      </w:r>
      <w:r w:rsidRPr="00537D34">
        <w:rPr>
          <w:rFonts w:ascii="Arial" w:hAnsi="Arial" w:cs="Arial"/>
          <w:bCs/>
          <w:sz w:val="22"/>
          <w:szCs w:val="22"/>
        </w:rPr>
        <w:t xml:space="preserve">daně darovací (od 1. 1. 2014 </w:t>
      </w:r>
      <w:r>
        <w:rPr>
          <w:rFonts w:ascii="Arial" w:hAnsi="Arial" w:cs="Arial"/>
          <w:bCs/>
          <w:sz w:val="22"/>
          <w:szCs w:val="22"/>
        </w:rPr>
        <w:t xml:space="preserve">inkorporováno pod režim </w:t>
      </w:r>
      <w:r w:rsidRPr="00537D34">
        <w:rPr>
          <w:rFonts w:ascii="Arial" w:hAnsi="Arial" w:cs="Arial"/>
          <w:bCs/>
          <w:sz w:val="22"/>
          <w:szCs w:val="22"/>
        </w:rPr>
        <w:t xml:space="preserve">daní z příjmů) a prověřit dopady legislativních změn na příjmy státního rozpočtu. </w:t>
      </w:r>
    </w:p>
    <w:p w:rsidR="002C3CFA" w:rsidRPr="00537D34" w:rsidRDefault="002C3CFA" w:rsidP="001F6809">
      <w:pPr>
        <w:autoSpaceDE w:val="0"/>
        <w:autoSpaceDN w:val="0"/>
        <w:adjustRightInd w:val="0"/>
        <w:jc w:val="both"/>
        <w:rPr>
          <w:rFonts w:ascii="Arial" w:hAnsi="Arial" w:cs="Arial"/>
          <w:sz w:val="22"/>
          <w:szCs w:val="22"/>
        </w:rPr>
      </w:pPr>
    </w:p>
    <w:p w:rsidR="002C3CFA" w:rsidRPr="00537D34" w:rsidRDefault="002C3CFA" w:rsidP="00537D34">
      <w:pPr>
        <w:autoSpaceDE w:val="0"/>
        <w:autoSpaceDN w:val="0"/>
        <w:adjustRightInd w:val="0"/>
        <w:jc w:val="both"/>
        <w:rPr>
          <w:rFonts w:ascii="Arial" w:hAnsi="Arial" w:cs="Arial"/>
          <w:color w:val="000000"/>
          <w:sz w:val="22"/>
          <w:szCs w:val="22"/>
          <w:lang w:eastAsia="en-US"/>
        </w:rPr>
      </w:pPr>
      <w:r w:rsidRPr="00537D34">
        <w:rPr>
          <w:rFonts w:ascii="Arial" w:hAnsi="Arial" w:cs="Arial"/>
          <w:bCs/>
          <w:color w:val="000000"/>
          <w:sz w:val="22"/>
          <w:szCs w:val="22"/>
          <w:lang w:eastAsia="en-US"/>
        </w:rPr>
        <w:t>Kontrolovanými osobami byly GFŘ a vybrané finanční úřady (dále také „FÚ“): Finanční úřad pro Středočeský kraj, Finanční úřad pro Jihočeský kraj, Finanční úřad pro Ústecký kraj, Finanční úřad pro Jihomoravský kraj, Finanční úřad pro Moravskoslezský kraj, Finanční úřad pro Plzeňský kraj a k</w:t>
      </w:r>
      <w:r w:rsidRPr="00537D34">
        <w:rPr>
          <w:rFonts w:ascii="Arial" w:hAnsi="Arial" w:cs="Arial"/>
          <w:color w:val="000000"/>
          <w:sz w:val="22"/>
          <w:szCs w:val="22"/>
          <w:lang w:eastAsia="en-US"/>
        </w:rPr>
        <w:t>ontrolovaným obdobím byly roky 2012 – 2014, v případě věcných souvislostí také období předcházející a následující.</w:t>
      </w:r>
    </w:p>
    <w:p w:rsidR="002C3CFA" w:rsidRPr="00537D34" w:rsidRDefault="002C3CFA" w:rsidP="001F6809">
      <w:pPr>
        <w:autoSpaceDE w:val="0"/>
        <w:autoSpaceDN w:val="0"/>
        <w:adjustRightInd w:val="0"/>
        <w:jc w:val="both"/>
        <w:rPr>
          <w:rFonts w:ascii="Arial" w:hAnsi="Arial" w:cs="Arial"/>
          <w:sz w:val="22"/>
          <w:szCs w:val="22"/>
          <w:lang w:eastAsia="en-US"/>
        </w:rPr>
      </w:pPr>
    </w:p>
    <w:p w:rsidR="002C3CFA" w:rsidRPr="00537D34" w:rsidRDefault="002C3CFA" w:rsidP="00A4738D">
      <w:pPr>
        <w:pStyle w:val="Default"/>
        <w:jc w:val="both"/>
        <w:rPr>
          <w:rFonts w:ascii="Arial" w:hAnsi="Arial" w:cs="Arial"/>
          <w:bCs/>
          <w:sz w:val="22"/>
          <w:szCs w:val="22"/>
        </w:rPr>
      </w:pPr>
      <w:r w:rsidRPr="00537D34">
        <w:rPr>
          <w:rFonts w:ascii="Arial" w:hAnsi="Arial" w:cs="Arial"/>
          <w:bCs/>
          <w:sz w:val="22"/>
          <w:szCs w:val="22"/>
        </w:rPr>
        <w:t xml:space="preserve">Námitky proti kontrolnímu protokolu, které podalo GFŘ a FÚ pro Středočeský kraj, byly vypořádány vedoucím skupiny kontrolujících. Z celkového počtu 6 námitek GFŘ označilo NKÚ 2 námitky jako důvodné, 3 námitky jako částečně důvodné a 1 jako nedůvodnou. GFŘ nepodalo odvolání proti rozhodnutí o námitkách. </w:t>
      </w:r>
    </w:p>
    <w:p w:rsidR="002C3CFA" w:rsidRPr="00537D34" w:rsidRDefault="002C3CFA" w:rsidP="001F6809">
      <w:pPr>
        <w:pStyle w:val="Default"/>
        <w:jc w:val="both"/>
        <w:rPr>
          <w:rFonts w:ascii="Arial" w:hAnsi="Arial" w:cs="Arial"/>
          <w:sz w:val="22"/>
          <w:szCs w:val="22"/>
        </w:rPr>
      </w:pPr>
    </w:p>
    <w:p w:rsidR="002C3CFA" w:rsidRPr="00537D34" w:rsidRDefault="002C3CFA" w:rsidP="00537D34">
      <w:pPr>
        <w:jc w:val="both"/>
        <w:rPr>
          <w:rFonts w:ascii="Arial" w:hAnsi="Arial" w:cs="Arial"/>
          <w:bCs/>
          <w:sz w:val="22"/>
          <w:szCs w:val="22"/>
        </w:rPr>
      </w:pPr>
      <w:r w:rsidRPr="00537D34">
        <w:rPr>
          <w:rFonts w:ascii="Arial" w:hAnsi="Arial" w:cs="Arial"/>
          <w:bCs/>
          <w:sz w:val="22"/>
          <w:szCs w:val="22"/>
        </w:rPr>
        <w:t>NKÚ v postupu orgánů finanční správy při správě majetkových daní nezjistil žádná zásadní pochybení. Podmínky pro správu majetkových daní se výrazně zlepšily zavedením automatizované výměny informací mezi finanční správou a katastrálními úřady. Největší problém majetkových daní spatřuje NKÚ v</w:t>
      </w:r>
      <w:r>
        <w:rPr>
          <w:rFonts w:ascii="Arial" w:hAnsi="Arial" w:cs="Arial"/>
          <w:bCs/>
          <w:sz w:val="22"/>
          <w:szCs w:val="22"/>
        </w:rPr>
        <w:t> </w:t>
      </w:r>
      <w:r w:rsidRPr="00537D34">
        <w:rPr>
          <w:rFonts w:ascii="Arial" w:hAnsi="Arial" w:cs="Arial"/>
          <w:bCs/>
          <w:sz w:val="22"/>
          <w:szCs w:val="22"/>
        </w:rPr>
        <w:t>objemu</w:t>
      </w:r>
      <w:r>
        <w:rPr>
          <w:rFonts w:ascii="Arial" w:hAnsi="Arial" w:cs="Arial"/>
          <w:bCs/>
          <w:sz w:val="22"/>
          <w:szCs w:val="22"/>
        </w:rPr>
        <w:t xml:space="preserve"> </w:t>
      </w:r>
      <w:r w:rsidR="00467B9A" w:rsidRPr="00537D34">
        <w:rPr>
          <w:rFonts w:ascii="Arial" w:hAnsi="Arial" w:cs="Arial"/>
          <w:bCs/>
          <w:sz w:val="22"/>
          <w:szCs w:val="22"/>
        </w:rPr>
        <w:t>nedoplatků</w:t>
      </w:r>
      <w:r w:rsidR="00467B9A">
        <w:rPr>
          <w:rFonts w:ascii="Arial" w:hAnsi="Arial" w:cs="Arial"/>
          <w:bCs/>
          <w:sz w:val="22"/>
          <w:szCs w:val="22"/>
        </w:rPr>
        <w:t xml:space="preserve">, </w:t>
      </w:r>
      <w:r>
        <w:rPr>
          <w:rFonts w:ascii="Arial" w:hAnsi="Arial" w:cs="Arial"/>
          <w:bCs/>
          <w:sz w:val="22"/>
          <w:szCs w:val="22"/>
        </w:rPr>
        <w:t>zejména bagatelních</w:t>
      </w:r>
      <w:r w:rsidRPr="00537D34">
        <w:rPr>
          <w:rFonts w:ascii="Arial" w:hAnsi="Arial" w:cs="Arial"/>
          <w:bCs/>
          <w:sz w:val="22"/>
          <w:szCs w:val="22"/>
        </w:rPr>
        <w:t>.</w:t>
      </w:r>
    </w:p>
    <w:p w:rsidR="002C3CFA" w:rsidRPr="00537D34" w:rsidRDefault="002C3CFA" w:rsidP="00537D34">
      <w:pPr>
        <w:jc w:val="both"/>
        <w:rPr>
          <w:rFonts w:ascii="Arial" w:hAnsi="Arial" w:cs="Arial"/>
          <w:bCs/>
          <w:sz w:val="22"/>
          <w:szCs w:val="22"/>
        </w:rPr>
      </w:pPr>
      <w:r w:rsidRPr="00537D34">
        <w:rPr>
          <w:rFonts w:ascii="Arial" w:hAnsi="Arial" w:cs="Arial"/>
          <w:bCs/>
          <w:sz w:val="22"/>
          <w:szCs w:val="22"/>
        </w:rPr>
        <w:t>Z pohledu příjmů je efektivnost správy majetkových daní v poměru k efektivnosti správy všech daní třikrát nižší. Výdaje na správu majetkových daní činily v roce 2014 celkem 776 mil. Kč z celkových 8 320 mil. Kč vynaložených na činnost finanční správy.</w:t>
      </w:r>
    </w:p>
    <w:p w:rsidR="002C3CFA" w:rsidRPr="00537D34" w:rsidRDefault="002C3CFA" w:rsidP="00537D34">
      <w:pPr>
        <w:jc w:val="both"/>
        <w:rPr>
          <w:rFonts w:ascii="Arial" w:hAnsi="Arial" w:cs="Arial"/>
          <w:bCs/>
          <w:sz w:val="22"/>
          <w:szCs w:val="22"/>
        </w:rPr>
      </w:pPr>
      <w:r w:rsidRPr="00537D34">
        <w:rPr>
          <w:rFonts w:ascii="Arial" w:hAnsi="Arial" w:cs="Arial"/>
          <w:bCs/>
          <w:sz w:val="22"/>
          <w:szCs w:val="22"/>
        </w:rPr>
        <w:t>Příjmy státu z majetkových daní se po zavedení legislativních změn účinných od 1. 1. 2014 významně nezměnily. Výši příjmů pozitivně ovlivnily platby majetkových daní vyměřených podle právní úpravy účinné do konce roku 2013.</w:t>
      </w:r>
    </w:p>
    <w:p w:rsidR="002C3CFA" w:rsidRPr="00537D34" w:rsidRDefault="002C3CFA" w:rsidP="00537D34">
      <w:pPr>
        <w:jc w:val="both"/>
        <w:rPr>
          <w:rFonts w:ascii="Arial" w:hAnsi="Arial" w:cs="Arial"/>
          <w:sz w:val="22"/>
          <w:szCs w:val="22"/>
        </w:rPr>
      </w:pPr>
    </w:p>
    <w:p w:rsidR="002C3CFA" w:rsidRPr="00537D34" w:rsidRDefault="002C3CFA" w:rsidP="00537D34">
      <w:pPr>
        <w:jc w:val="both"/>
        <w:rPr>
          <w:rFonts w:ascii="Arial" w:hAnsi="Arial" w:cs="Arial"/>
          <w:sz w:val="22"/>
          <w:szCs w:val="22"/>
        </w:rPr>
      </w:pPr>
      <w:r w:rsidRPr="00537D34">
        <w:rPr>
          <w:rFonts w:ascii="Arial" w:hAnsi="Arial" w:cs="Arial"/>
          <w:sz w:val="22"/>
          <w:szCs w:val="22"/>
        </w:rPr>
        <w:t xml:space="preserve">NKÚ doporučuje, aby byl při změně daňových zákonů brán zřetel na </w:t>
      </w:r>
      <w:proofErr w:type="spellStart"/>
      <w:r w:rsidRPr="00537D34">
        <w:rPr>
          <w:rFonts w:ascii="Arial" w:hAnsi="Arial" w:cs="Arial"/>
          <w:sz w:val="22"/>
          <w:szCs w:val="22"/>
        </w:rPr>
        <w:t>legisvakanční</w:t>
      </w:r>
      <w:proofErr w:type="spellEnd"/>
      <w:r w:rsidRPr="00537D34">
        <w:rPr>
          <w:rFonts w:ascii="Arial" w:hAnsi="Arial" w:cs="Arial"/>
          <w:sz w:val="22"/>
          <w:szCs w:val="22"/>
        </w:rPr>
        <w:t xml:space="preserve"> lhůty, a</w:t>
      </w:r>
      <w:r>
        <w:rPr>
          <w:rFonts w:ascii="Arial" w:hAnsi="Arial" w:cs="Arial"/>
          <w:sz w:val="22"/>
          <w:szCs w:val="22"/>
        </w:rPr>
        <w:t> </w:t>
      </w:r>
      <w:r w:rsidRPr="00537D34">
        <w:rPr>
          <w:rFonts w:ascii="Arial" w:hAnsi="Arial" w:cs="Arial"/>
          <w:sz w:val="22"/>
          <w:szCs w:val="22"/>
        </w:rPr>
        <w:t>tudíž měla finanční správa dostatek času pro metodickou a technickou přípravu. Dále mj. doporučuje zabývat se otázkou zdaňování majetku v ČR, neboť efektivnost správy majetkových daní je vzhledem k efektivnosti správy ostatních daní nízká, vymáhání nedoplatků na dani z nemovitých věcí ovlivňuje vysoký počet bagatelních nedoplatků a</w:t>
      </w:r>
      <w:r>
        <w:rPr>
          <w:rFonts w:ascii="Arial" w:hAnsi="Arial" w:cs="Arial"/>
          <w:sz w:val="22"/>
          <w:szCs w:val="22"/>
        </w:rPr>
        <w:t> </w:t>
      </w:r>
      <w:r w:rsidRPr="00537D34">
        <w:rPr>
          <w:rFonts w:ascii="Arial" w:hAnsi="Arial" w:cs="Arial"/>
          <w:sz w:val="22"/>
          <w:szCs w:val="22"/>
        </w:rPr>
        <w:t>bezúplatné příjmy nabyté darováním jsou vzhledem ke svému začlenění do daně z příjmů téměř nekontrolovatelné.</w:t>
      </w:r>
    </w:p>
    <w:p w:rsidR="002C3CFA" w:rsidRPr="00537D34" w:rsidRDefault="002C3CFA" w:rsidP="001F6809">
      <w:pPr>
        <w:jc w:val="both"/>
        <w:rPr>
          <w:rFonts w:ascii="Arial" w:hAnsi="Arial" w:cs="Arial"/>
          <w:sz w:val="22"/>
          <w:szCs w:val="22"/>
        </w:rPr>
      </w:pPr>
    </w:p>
    <w:p w:rsidR="002C3CFA" w:rsidRPr="00537D34" w:rsidRDefault="002C3CFA" w:rsidP="001F6809">
      <w:pPr>
        <w:autoSpaceDE w:val="0"/>
        <w:autoSpaceDN w:val="0"/>
        <w:adjustRightInd w:val="0"/>
        <w:jc w:val="both"/>
        <w:rPr>
          <w:rFonts w:ascii="Arial" w:hAnsi="Arial" w:cs="Arial"/>
          <w:noProof/>
          <w:sz w:val="22"/>
          <w:szCs w:val="22"/>
        </w:rPr>
      </w:pPr>
      <w:r w:rsidRPr="00537D34">
        <w:rPr>
          <w:rFonts w:ascii="Arial" w:hAnsi="Arial" w:cs="Arial"/>
          <w:noProof/>
          <w:sz w:val="22"/>
          <w:szCs w:val="22"/>
        </w:rPr>
        <w:t>Ministerstvo financí důkladně analyzovalo nedostatky uvedené v Kontrolním závěru z kontrolní akce NKÚ č. 15/15 a v </w:t>
      </w:r>
      <w:r w:rsidR="007A4D23">
        <w:rPr>
          <w:rFonts w:ascii="Arial" w:hAnsi="Arial" w:cs="Arial"/>
          <w:noProof/>
          <w:sz w:val="22"/>
          <w:szCs w:val="22"/>
        </w:rPr>
        <w:t>předkládaném stanovisku</w:t>
      </w:r>
      <w:r w:rsidRPr="00537D34">
        <w:rPr>
          <w:rFonts w:ascii="Arial" w:hAnsi="Arial" w:cs="Arial"/>
          <w:noProof/>
          <w:sz w:val="22"/>
          <w:szCs w:val="22"/>
        </w:rPr>
        <w:t xml:space="preserve"> </w:t>
      </w:r>
      <w:r w:rsidRPr="009C72D6">
        <w:rPr>
          <w:rFonts w:ascii="Arial" w:hAnsi="Arial" w:cs="Arial"/>
          <w:noProof/>
          <w:sz w:val="22"/>
          <w:szCs w:val="22"/>
        </w:rPr>
        <w:t>přijalo opatření k jejich odstranění.</w:t>
      </w:r>
    </w:p>
    <w:p w:rsidR="002C3CFA" w:rsidRPr="00537D34" w:rsidRDefault="002C3CFA" w:rsidP="001F6809">
      <w:pPr>
        <w:autoSpaceDE w:val="0"/>
        <w:autoSpaceDN w:val="0"/>
        <w:adjustRightInd w:val="0"/>
        <w:jc w:val="both"/>
        <w:rPr>
          <w:rFonts w:ascii="Arial" w:hAnsi="Arial" w:cs="Arial"/>
          <w:noProof/>
          <w:sz w:val="22"/>
          <w:szCs w:val="22"/>
        </w:rPr>
      </w:pPr>
    </w:p>
    <w:p w:rsidR="002C3CFA" w:rsidRPr="001F6809" w:rsidRDefault="002C3CFA" w:rsidP="001F6809">
      <w:pPr>
        <w:autoSpaceDE w:val="0"/>
        <w:autoSpaceDN w:val="0"/>
        <w:adjustRightInd w:val="0"/>
        <w:jc w:val="both"/>
        <w:rPr>
          <w:rFonts w:ascii="Arial" w:hAnsi="Arial" w:cs="Arial"/>
          <w:sz w:val="22"/>
          <w:szCs w:val="22"/>
        </w:rPr>
      </w:pPr>
      <w:r w:rsidRPr="00537D34">
        <w:rPr>
          <w:rFonts w:ascii="Arial" w:hAnsi="Arial" w:cs="Arial"/>
          <w:noProof/>
          <w:sz w:val="22"/>
          <w:szCs w:val="22"/>
        </w:rPr>
        <w:lastRenderedPageBreak/>
        <w:t>Pro přehlednost je v následujících částech Stanoviska respektováno členění částí a kapitol tak, jak je uvedeno v Kontrolním závěru.</w:t>
      </w:r>
    </w:p>
    <w:p w:rsidR="002C3CFA" w:rsidRPr="001F6809" w:rsidRDefault="002C3CFA" w:rsidP="001F6809">
      <w:pPr>
        <w:jc w:val="both"/>
        <w:rPr>
          <w:rFonts w:ascii="Arial" w:hAnsi="Arial" w:cs="Arial"/>
          <w:sz w:val="22"/>
          <w:szCs w:val="22"/>
        </w:rPr>
      </w:pPr>
      <w:r w:rsidRPr="001F6809">
        <w:rPr>
          <w:rFonts w:ascii="Arial" w:hAnsi="Arial" w:cs="Arial"/>
          <w:sz w:val="22"/>
          <w:szCs w:val="22"/>
        </w:rPr>
        <w:br w:type="page"/>
      </w:r>
    </w:p>
    <w:p w:rsidR="002C3CFA" w:rsidRPr="001F6809" w:rsidRDefault="002C3CFA" w:rsidP="001F6809">
      <w:pPr>
        <w:numPr>
          <w:ilvl w:val="0"/>
          <w:numId w:val="1"/>
        </w:numPr>
        <w:autoSpaceDE w:val="0"/>
        <w:autoSpaceDN w:val="0"/>
        <w:adjustRightInd w:val="0"/>
        <w:ind w:left="0" w:firstLine="0"/>
        <w:jc w:val="both"/>
        <w:outlineLvl w:val="0"/>
        <w:rPr>
          <w:rFonts w:ascii="Arial" w:hAnsi="Arial" w:cs="Arial"/>
          <w:b/>
          <w:sz w:val="22"/>
          <w:szCs w:val="22"/>
          <w:u w:val="single"/>
        </w:rPr>
      </w:pPr>
      <w:r w:rsidRPr="001F6809">
        <w:rPr>
          <w:rFonts w:ascii="Arial" w:hAnsi="Arial" w:cs="Arial"/>
          <w:b/>
          <w:sz w:val="22"/>
          <w:szCs w:val="22"/>
          <w:u w:val="single"/>
        </w:rPr>
        <w:t>Stanovisko ke zjištěným nedostatkům uvedeným v Kontrolním závěru</w:t>
      </w:r>
    </w:p>
    <w:p w:rsidR="002C3CFA" w:rsidRPr="001F6809" w:rsidRDefault="002C3CFA" w:rsidP="001F6809">
      <w:pPr>
        <w:autoSpaceDE w:val="0"/>
        <w:autoSpaceDN w:val="0"/>
        <w:adjustRightInd w:val="0"/>
        <w:jc w:val="both"/>
        <w:outlineLvl w:val="0"/>
        <w:rPr>
          <w:rFonts w:ascii="Arial" w:hAnsi="Arial" w:cs="Arial"/>
          <w:b/>
          <w:sz w:val="22"/>
          <w:szCs w:val="22"/>
          <w:u w:val="single"/>
        </w:rPr>
      </w:pPr>
    </w:p>
    <w:p w:rsidR="002C3CFA" w:rsidRPr="001F6809" w:rsidRDefault="002C3CFA" w:rsidP="001F6809">
      <w:pPr>
        <w:autoSpaceDE w:val="0"/>
        <w:autoSpaceDN w:val="0"/>
        <w:adjustRightInd w:val="0"/>
        <w:jc w:val="both"/>
        <w:outlineLvl w:val="0"/>
        <w:rPr>
          <w:rFonts w:ascii="Arial" w:hAnsi="Arial" w:cs="Arial"/>
          <w:b/>
          <w:bCs/>
          <w:sz w:val="22"/>
          <w:szCs w:val="22"/>
          <w:u w:val="single"/>
        </w:rPr>
      </w:pPr>
      <w:r w:rsidRPr="005E6C4A">
        <w:rPr>
          <w:rFonts w:ascii="Arial" w:hAnsi="Arial" w:cs="Arial"/>
          <w:b/>
          <w:sz w:val="22"/>
          <w:szCs w:val="22"/>
          <w:u w:val="single"/>
        </w:rPr>
        <w:t xml:space="preserve">Část </w:t>
      </w:r>
      <w:r w:rsidRPr="005E6C4A">
        <w:rPr>
          <w:rFonts w:ascii="Arial" w:hAnsi="Arial" w:cs="Arial"/>
          <w:b/>
          <w:bCs/>
          <w:sz w:val="22"/>
          <w:szCs w:val="22"/>
          <w:u w:val="single"/>
        </w:rPr>
        <w:t>IV. Podrobné informace ke zjištěným skutečnostem</w:t>
      </w:r>
    </w:p>
    <w:p w:rsidR="002C3CFA" w:rsidRPr="001F6809" w:rsidRDefault="002C3CFA" w:rsidP="001F6809">
      <w:pPr>
        <w:autoSpaceDE w:val="0"/>
        <w:autoSpaceDN w:val="0"/>
        <w:adjustRightInd w:val="0"/>
        <w:jc w:val="both"/>
        <w:outlineLvl w:val="0"/>
        <w:rPr>
          <w:rFonts w:ascii="Arial" w:hAnsi="Arial" w:cs="Arial"/>
          <w:b/>
          <w:bCs/>
          <w:sz w:val="22"/>
          <w:szCs w:val="22"/>
          <w:u w:val="single"/>
        </w:rPr>
      </w:pPr>
    </w:p>
    <w:p w:rsidR="002C3CFA" w:rsidRPr="005E6C4A" w:rsidRDefault="002C3CFA" w:rsidP="001F6809">
      <w:pPr>
        <w:autoSpaceDE w:val="0"/>
        <w:autoSpaceDN w:val="0"/>
        <w:adjustRightInd w:val="0"/>
        <w:jc w:val="both"/>
        <w:rPr>
          <w:rFonts w:ascii="Arial" w:hAnsi="Arial" w:cs="Arial"/>
          <w:b/>
          <w:bCs/>
          <w:color w:val="000000"/>
          <w:sz w:val="22"/>
          <w:szCs w:val="22"/>
          <w:lang w:eastAsia="en-US"/>
        </w:rPr>
      </w:pPr>
      <w:r w:rsidRPr="005E6C4A">
        <w:rPr>
          <w:rFonts w:ascii="Arial" w:hAnsi="Arial" w:cs="Arial"/>
          <w:b/>
          <w:bCs/>
          <w:color w:val="000000"/>
          <w:sz w:val="22"/>
          <w:szCs w:val="22"/>
          <w:lang w:eastAsia="en-US"/>
        </w:rPr>
        <w:t>1. Daň z nemovitých věcí</w:t>
      </w:r>
    </w:p>
    <w:p w:rsidR="002C3CFA" w:rsidRPr="001F6809" w:rsidRDefault="002C3CFA" w:rsidP="001F6809">
      <w:pPr>
        <w:pStyle w:val="Default"/>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„Inkaso daně z nemovitých věcí je ze 100 % příjmem obcí. Z údajů vedených v monitoru státní pokladny NKÚ zjistil, že příjmy obcí v letech 2012–2014 činily 770 159 mil. Kč. Ve stejném období byl výnos daně z nemovitých věcí ve výši 29 298 mil. Kč.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NKÚ porovnal podíly příjmů z daně z nemovitých věcí na celkových příjmech vybraných největších a nejmenších obcí podle počtu obyvatel.</w:t>
      </w:r>
    </w:p>
    <w:p w:rsidR="002C3CFA" w:rsidRPr="001F6809" w:rsidRDefault="002C3CFA" w:rsidP="001F6809">
      <w:pPr>
        <w:autoSpaceDE w:val="0"/>
        <w:autoSpaceDN w:val="0"/>
        <w:adjustRightInd w:val="0"/>
        <w:jc w:val="both"/>
        <w:rPr>
          <w:rFonts w:ascii="Arial" w:hAnsi="Arial" w:cs="Arial"/>
          <w:b/>
          <w:bCs/>
          <w:i/>
          <w:sz w:val="22"/>
          <w:szCs w:val="22"/>
        </w:rPr>
      </w:pPr>
      <w:r w:rsidRPr="001F6809">
        <w:rPr>
          <w:rFonts w:ascii="Arial" w:hAnsi="Arial" w:cs="Arial"/>
          <w:i/>
          <w:sz w:val="22"/>
          <w:szCs w:val="22"/>
        </w:rPr>
        <w:t>Příjem obcí z daně z nemovitých věcí ovlivňuje místní koeficient stanovený danou obcí.“</w:t>
      </w:r>
      <w:r w:rsidRPr="001F6809">
        <w:rPr>
          <w:rFonts w:ascii="Arial" w:hAnsi="Arial" w:cs="Arial"/>
          <w:b/>
          <w:bCs/>
          <w:i/>
          <w:sz w:val="22"/>
          <w:szCs w:val="22"/>
        </w:rPr>
        <w:t xml:space="preserve"> </w:t>
      </w:r>
    </w:p>
    <w:p w:rsidR="002C3CFA" w:rsidRPr="001F6809" w:rsidRDefault="002C3CFA" w:rsidP="001F6809">
      <w:pPr>
        <w:autoSpaceDE w:val="0"/>
        <w:autoSpaceDN w:val="0"/>
        <w:adjustRightInd w:val="0"/>
        <w:jc w:val="both"/>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autoSpaceDE w:val="0"/>
        <w:autoSpaceDN w:val="0"/>
        <w:adjustRightInd w:val="0"/>
        <w:jc w:val="both"/>
        <w:rPr>
          <w:rFonts w:ascii="Arial" w:hAnsi="Arial" w:cs="Arial"/>
          <w:bCs/>
          <w:iCs/>
          <w:sz w:val="22"/>
          <w:szCs w:val="22"/>
        </w:rPr>
      </w:pPr>
      <w:r w:rsidRPr="001F6809">
        <w:rPr>
          <w:rFonts w:ascii="Arial" w:hAnsi="Arial" w:cs="Arial"/>
          <w:bCs/>
          <w:iCs/>
          <w:sz w:val="22"/>
          <w:szCs w:val="22"/>
        </w:rPr>
        <w:t>Vzato na vědomí.</w:t>
      </w:r>
    </w:p>
    <w:p w:rsidR="002C3CFA" w:rsidRPr="001F6809" w:rsidRDefault="002C3CFA" w:rsidP="001F6809">
      <w:pPr>
        <w:autoSpaceDE w:val="0"/>
        <w:autoSpaceDN w:val="0"/>
        <w:adjustRightInd w:val="0"/>
        <w:jc w:val="both"/>
        <w:rPr>
          <w:rFonts w:ascii="Arial" w:hAnsi="Arial" w:cs="Arial"/>
          <w:b/>
          <w:bCs/>
          <w:i/>
          <w:sz w:val="22"/>
          <w:szCs w:val="22"/>
        </w:rPr>
      </w:pPr>
    </w:p>
    <w:p w:rsidR="002C3CFA" w:rsidRPr="001F6809" w:rsidRDefault="002C3CFA" w:rsidP="001F6809">
      <w:pPr>
        <w:autoSpaceDE w:val="0"/>
        <w:autoSpaceDN w:val="0"/>
        <w:adjustRightInd w:val="0"/>
        <w:jc w:val="both"/>
        <w:rPr>
          <w:rFonts w:ascii="Arial" w:hAnsi="Arial" w:cs="Arial"/>
          <w:b/>
          <w:bCs/>
          <w:i/>
          <w:sz w:val="22"/>
          <w:szCs w:val="22"/>
        </w:rPr>
      </w:pPr>
    </w:p>
    <w:p w:rsidR="002C3CFA" w:rsidRPr="001F6809" w:rsidRDefault="002C3CFA" w:rsidP="001F6809">
      <w:pPr>
        <w:autoSpaceDE w:val="0"/>
        <w:autoSpaceDN w:val="0"/>
        <w:adjustRightInd w:val="0"/>
        <w:jc w:val="both"/>
        <w:rPr>
          <w:rFonts w:ascii="Arial" w:hAnsi="Arial" w:cs="Arial"/>
          <w:b/>
          <w:bCs/>
          <w:i/>
          <w:sz w:val="22"/>
          <w:szCs w:val="22"/>
        </w:rPr>
      </w:pPr>
      <w:r w:rsidRPr="001F6809">
        <w:rPr>
          <w:rFonts w:ascii="Arial" w:hAnsi="Arial" w:cs="Arial"/>
          <w:b/>
          <w:bCs/>
          <w:i/>
          <w:sz w:val="22"/>
          <w:szCs w:val="22"/>
        </w:rPr>
        <w:t>Kontrolní mechanismy</w:t>
      </w:r>
    </w:p>
    <w:p w:rsidR="002C3CFA" w:rsidRPr="001F6809" w:rsidRDefault="002C3CFA" w:rsidP="001F6809">
      <w:pPr>
        <w:pStyle w:val="Default"/>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Pr>
          <w:rFonts w:ascii="Arial" w:hAnsi="Arial" w:cs="Arial"/>
          <w:i/>
          <w:sz w:val="22"/>
          <w:szCs w:val="22"/>
        </w:rPr>
        <w:t>„</w:t>
      </w:r>
      <w:r w:rsidRPr="001F6809">
        <w:rPr>
          <w:rFonts w:ascii="Arial" w:hAnsi="Arial" w:cs="Arial"/>
          <w:i/>
          <w:sz w:val="22"/>
          <w:szCs w:val="22"/>
        </w:rPr>
        <w:t xml:space="preserve">GFŘ každý měsíc automatizovaně přebírá data z katastru nemovitostí, která aktualizují informace o stavech nemovitých věcí evidované v ADIS.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Od roku 2014 mají správci daně k dispozici novou úlohu ADIS, která umožňuje automatizovanou kontrolu správnosti údajů uvedených v daňových přiznáních, a to i zpětně za uplynulá zdaňovací období. V rámci této kontroly se porovnávají údaje uvedené poplatníkem v daňovém přiznání s údaji uvedenými v katastru nemovitostí.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NKÚ u kontrolovaných 11 ÚP zjistil, že v letech 2013 a 2014 bylo podáno celkem 84 317 daňových přiznání k dani z nemovitých věcí a u 34 135 z nich, tj. cca u 40 %, byl v ADIS vygenerován rozdíl oproti údajům v katastru nemovitostí. V době kontroly NKÚ správci daně ještě neprověřili 26 833 daňových přiznání s rozdílem, tj. cca 79 %. Nejčastějšími důvody rozdílů byly formální chyby v daňových přiznáních nebo chybné údaje v katastru nemovitostí. Orgány FS ČR provedly v roce 2014 celkem 3 452 daňových kontrol a místních šetření, což bylo o 1 270 daňových řízení více než v roce 2013. Zavedené kontrolní mechanismy umožnily správcům daně cíleně zaměřit kontrolní činnost na problémy identifikované kontrolou elektronicky dostupných dat.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Na kontrolním vzorku 50 daňových subjektů prověřil NKÚ postup správců daně v případech, kdy vlastník nepodal daňové přiznání, případně v podaném daňovém přiznání nemovitou věc neuvedl. Ve 26 případech nebyla nemovitá věc přiznána z důvodu neukončeného dědického řízení nebo ji přiznal druhý z manželů. Zbývajících 24 daňových subjektů správce daně vyzval k podání daňového přiznání k dani z nemovitých věcí. Z toho pět daňových subjektů vyzvaly dva kontrolované FÚ k podání daňového přiznání až po uplynutí prekluzivní lhůty pro stanovení daňové povinnosti za roky 2007–2012. Kontrolní mechanismy zavedené v roce 2014 již správcům daně umožňují riziko prekluze minimalizovat.</w:t>
      </w:r>
      <w:r>
        <w:rPr>
          <w:rFonts w:ascii="Arial" w:hAnsi="Arial" w:cs="Arial"/>
          <w:i/>
          <w:sz w:val="22"/>
          <w:szCs w:val="22"/>
        </w:rPr>
        <w:t>“</w:t>
      </w:r>
    </w:p>
    <w:p w:rsidR="002C3CFA" w:rsidRPr="001F6809" w:rsidRDefault="002C3CFA" w:rsidP="001F6809">
      <w:pPr>
        <w:autoSpaceDE w:val="0"/>
        <w:autoSpaceDN w:val="0"/>
        <w:adjustRightInd w:val="0"/>
        <w:jc w:val="both"/>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Stávající kontroly daňových přiznání k dani z nemovitých věcí jsou na vysoké úrovni, prováděny automatizovaně. Dále správce daně disponuje kontrolními sestavami pro dohledání nepřiznaných nemovitých věcí. Správce daně prověřuje výsledky automatizovaných kontrol, na základě kterých, v odůvodněných případech, zahajuje buď daňové řízení, postup k odstranění pochybností nebo daňovou kontrolu. Správce daně je schopen dohledat a zkontrolovat veškeré nemovité věci evidované v katastru nemovitostí. I</w:t>
      </w:r>
      <w:r>
        <w:rPr>
          <w:rFonts w:ascii="Arial" w:hAnsi="Arial" w:cs="Arial"/>
          <w:sz w:val="22"/>
          <w:szCs w:val="22"/>
        </w:rPr>
        <w:t> </w:t>
      </w:r>
      <w:r w:rsidRPr="001F6809">
        <w:rPr>
          <w:rFonts w:ascii="Arial" w:hAnsi="Arial" w:cs="Arial"/>
          <w:sz w:val="22"/>
          <w:szCs w:val="22"/>
        </w:rPr>
        <w:t xml:space="preserve">NKÚ konstatuje, že je riziko prekluze vyměření daně minimalizováno. </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 xml:space="preserve">Metodická a </w:t>
      </w:r>
      <w:proofErr w:type="spellStart"/>
      <w:r w:rsidRPr="001F6809">
        <w:rPr>
          <w:rFonts w:ascii="Arial" w:hAnsi="Arial" w:cs="Arial"/>
          <w:sz w:val="22"/>
          <w:szCs w:val="22"/>
        </w:rPr>
        <w:t>dohlídková</w:t>
      </w:r>
      <w:proofErr w:type="spellEnd"/>
      <w:r w:rsidRPr="001F6809">
        <w:rPr>
          <w:rFonts w:ascii="Arial" w:hAnsi="Arial" w:cs="Arial"/>
          <w:sz w:val="22"/>
          <w:szCs w:val="22"/>
        </w:rPr>
        <w:t xml:space="preserve"> činnost GFŘ je</w:t>
      </w:r>
      <w:r>
        <w:rPr>
          <w:rFonts w:ascii="Arial" w:hAnsi="Arial" w:cs="Arial"/>
          <w:sz w:val="22"/>
          <w:szCs w:val="22"/>
        </w:rPr>
        <w:t xml:space="preserve"> průběžně od zdaňovacího období roku 2014</w:t>
      </w:r>
      <w:r w:rsidRPr="001F6809">
        <w:rPr>
          <w:rFonts w:ascii="Arial" w:hAnsi="Arial" w:cs="Arial"/>
          <w:sz w:val="22"/>
          <w:szCs w:val="22"/>
        </w:rPr>
        <w:t xml:space="preserve"> zaměřena na využívání kontrolních </w:t>
      </w:r>
      <w:r>
        <w:rPr>
          <w:rFonts w:ascii="Arial" w:hAnsi="Arial" w:cs="Arial"/>
          <w:sz w:val="22"/>
          <w:szCs w:val="22"/>
        </w:rPr>
        <w:t>mechani</w:t>
      </w:r>
      <w:r w:rsidR="007A4D23">
        <w:rPr>
          <w:rFonts w:ascii="Arial" w:hAnsi="Arial" w:cs="Arial"/>
          <w:sz w:val="22"/>
          <w:szCs w:val="22"/>
        </w:rPr>
        <w:t>s</w:t>
      </w:r>
      <w:r>
        <w:rPr>
          <w:rFonts w:ascii="Arial" w:hAnsi="Arial" w:cs="Arial"/>
          <w:sz w:val="22"/>
          <w:szCs w:val="22"/>
        </w:rPr>
        <w:t>mů zavedených v IS ADIS.</w:t>
      </w:r>
    </w:p>
    <w:p w:rsidR="002C3CFA" w:rsidRDefault="002C3CFA" w:rsidP="001F6809">
      <w:pPr>
        <w:autoSpaceDE w:val="0"/>
        <w:autoSpaceDN w:val="0"/>
        <w:adjustRightInd w:val="0"/>
        <w:jc w:val="both"/>
        <w:rPr>
          <w:rFonts w:ascii="Arial" w:hAnsi="Arial" w:cs="Arial"/>
          <w:i/>
          <w:sz w:val="22"/>
          <w:szCs w:val="22"/>
        </w:rPr>
      </w:pPr>
    </w:p>
    <w:p w:rsidR="002C3CFA" w:rsidRDefault="002C3CFA" w:rsidP="001F6809">
      <w:pPr>
        <w:autoSpaceDE w:val="0"/>
        <w:autoSpaceDN w:val="0"/>
        <w:adjustRightInd w:val="0"/>
        <w:jc w:val="both"/>
        <w:rPr>
          <w:rFonts w:ascii="Arial" w:hAnsi="Arial" w:cs="Arial"/>
          <w:i/>
          <w:sz w:val="22"/>
          <w:szCs w:val="22"/>
        </w:rPr>
      </w:pPr>
    </w:p>
    <w:p w:rsidR="002C3CFA" w:rsidRPr="001F6809" w:rsidRDefault="002C3CFA" w:rsidP="001F6809">
      <w:pPr>
        <w:autoSpaceDE w:val="0"/>
        <w:autoSpaceDN w:val="0"/>
        <w:adjustRightInd w:val="0"/>
        <w:jc w:val="both"/>
        <w:rPr>
          <w:rFonts w:ascii="Arial" w:hAnsi="Arial" w:cs="Arial"/>
          <w:i/>
          <w:sz w:val="22"/>
          <w:szCs w:val="22"/>
        </w:rPr>
      </w:pPr>
    </w:p>
    <w:p w:rsidR="002C3CFA" w:rsidRPr="001F6809" w:rsidRDefault="002C3CFA" w:rsidP="001F6809">
      <w:pPr>
        <w:autoSpaceDE w:val="0"/>
        <w:autoSpaceDN w:val="0"/>
        <w:adjustRightInd w:val="0"/>
        <w:jc w:val="both"/>
        <w:rPr>
          <w:rFonts w:ascii="Arial" w:hAnsi="Arial" w:cs="Arial"/>
          <w:i/>
          <w:sz w:val="22"/>
          <w:szCs w:val="22"/>
        </w:rPr>
      </w:pPr>
    </w:p>
    <w:p w:rsidR="002C3CFA" w:rsidRPr="001F6809" w:rsidRDefault="002C3CFA" w:rsidP="001F6809">
      <w:pPr>
        <w:autoSpaceDE w:val="0"/>
        <w:autoSpaceDN w:val="0"/>
        <w:adjustRightInd w:val="0"/>
        <w:jc w:val="both"/>
        <w:rPr>
          <w:rFonts w:ascii="Arial" w:hAnsi="Arial" w:cs="Arial"/>
          <w:b/>
          <w:bCs/>
          <w:i/>
          <w:sz w:val="22"/>
          <w:szCs w:val="22"/>
        </w:rPr>
      </w:pPr>
      <w:r w:rsidRPr="001F6809">
        <w:rPr>
          <w:rFonts w:ascii="Arial" w:hAnsi="Arial" w:cs="Arial"/>
          <w:b/>
          <w:bCs/>
          <w:i/>
          <w:sz w:val="22"/>
          <w:szCs w:val="22"/>
        </w:rPr>
        <w:t>Nedoplatky</w:t>
      </w:r>
    </w:p>
    <w:p w:rsidR="002C3CFA" w:rsidRPr="001F6809" w:rsidRDefault="002C3CFA" w:rsidP="001F6809">
      <w:pPr>
        <w:pStyle w:val="Default"/>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„K 31. 12. 2014 činily nedoplatky na dani z nemovitých věcí celkem 913 mil. Kč, o tuto částku byly sníženy příjmy obcí.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Na kontrolovaných FÚ dosáhly nedoplatky na dani z nemovitých věcí evidované na 75 135 osobních daňových účtech výše 520 mil. Kč. Z tohoto počtu byly na 65 609 osobních daňových účtech evidovány tzv. bagatelní daňové nedoplatky (do 5 000 Kč) v celkové výši 55,7 mil. Kč. Tzv. ostatní nedoplatky (5 001 až 499 999 Kč) byly evidovány na 9 394 osobních účtech ve výši 295 mil. Kč a tzv. zvláštní nedoplatky (od 500 tis. Kč) byly vykázány na 132 osobních daňových účtech ve výši 169 mil. Kč.</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Místně příslušným správcem daně z nemovitých věcí je FÚ, na jehož území se nemovitost nachází. Daňové povinnosti poplatníka za více nemovitostí na území téhož kraje spravuje jedno tzv. spravující ÚP. Daňové povinnosti poplatníka s nemovitostmi na území více krajů spravují různé FÚ. V tomto případě zákon neumožňuje sloučení nedoplatků k vymáhání u</w:t>
      </w:r>
      <w:r>
        <w:rPr>
          <w:rFonts w:ascii="Arial" w:hAnsi="Arial" w:cs="Arial"/>
          <w:i/>
          <w:sz w:val="22"/>
          <w:szCs w:val="22"/>
        </w:rPr>
        <w:t> </w:t>
      </w:r>
      <w:r w:rsidRPr="001F6809">
        <w:rPr>
          <w:rFonts w:ascii="Arial" w:hAnsi="Arial" w:cs="Arial"/>
          <w:i/>
          <w:sz w:val="22"/>
          <w:szCs w:val="22"/>
        </w:rPr>
        <w:t xml:space="preserve">jednoho FÚ.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Vymáhání bagatelních nedoplatků není pro finanční správu prioritou a lze očekávat, že se vymahatelnost ještě zhorší, neboť od listopadu roku 2015 prodloužilo GFŘ lhůtu pro předání těchto nedoplatků k vymáhání z šesti na 24 měsíců od vzniku nedoplatku a lhůtu pro zahájení vymáhání ze tří na devět měsíců od předání k vymáhání. V nejdelší variantě může být vymáhání zahájeno až za 33 měsíců od vzniku nedoplatku místo původních devíti měsíců.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Na Slovensku je rozdílná právní úprava správy daně z nemovitostí. Obce jsou nejen příjemcem, ale i správcem daně z nemovitostí. Podíl příjmů z daně z nemovitostí na celkových daňových příjmech je na Slovensku přibližně stejný jako v České republice, tj.</w:t>
      </w:r>
      <w:r w:rsidR="00016116">
        <w:rPr>
          <w:rFonts w:ascii="Arial" w:hAnsi="Arial" w:cs="Arial"/>
          <w:i/>
          <w:sz w:val="22"/>
          <w:szCs w:val="22"/>
        </w:rPr>
        <w:t> </w:t>
      </w:r>
      <w:r w:rsidRPr="001F6809">
        <w:rPr>
          <w:rFonts w:ascii="Arial" w:hAnsi="Arial" w:cs="Arial"/>
          <w:i/>
          <w:sz w:val="22"/>
          <w:szCs w:val="22"/>
        </w:rPr>
        <w:t>1,5</w:t>
      </w:r>
      <w:r>
        <w:rPr>
          <w:rFonts w:ascii="Arial" w:hAnsi="Arial" w:cs="Arial"/>
          <w:i/>
          <w:sz w:val="22"/>
          <w:szCs w:val="22"/>
        </w:rPr>
        <w:t> </w:t>
      </w:r>
      <w:r w:rsidRPr="001F6809">
        <w:rPr>
          <w:rFonts w:ascii="Arial" w:hAnsi="Arial" w:cs="Arial"/>
          <w:i/>
          <w:sz w:val="22"/>
          <w:szCs w:val="22"/>
        </w:rPr>
        <w:t>%.</w:t>
      </w:r>
    </w:p>
    <w:p w:rsidR="002C3CFA" w:rsidRPr="001F6809" w:rsidRDefault="002C3CFA" w:rsidP="001F6809">
      <w:pPr>
        <w:autoSpaceDE w:val="0"/>
        <w:autoSpaceDN w:val="0"/>
        <w:adjustRightInd w:val="0"/>
        <w:jc w:val="both"/>
        <w:outlineLvl w:val="0"/>
        <w:rPr>
          <w:rFonts w:ascii="Arial" w:hAnsi="Arial" w:cs="Arial"/>
          <w:b/>
          <w:bCs/>
          <w:i/>
          <w:iCs/>
          <w:sz w:val="22"/>
          <w:szCs w:val="22"/>
          <w:highlight w:val="yellow"/>
          <w:u w:val="single"/>
        </w:rPr>
      </w:pPr>
      <w:r w:rsidRPr="001F6809">
        <w:rPr>
          <w:rFonts w:ascii="Arial" w:hAnsi="Arial" w:cs="Arial"/>
          <w:i/>
          <w:sz w:val="22"/>
          <w:szCs w:val="22"/>
        </w:rPr>
        <w:t>Výši nedoplatků na dani z nemovitostí na Slovensku neměl NKÚ k dispozici, nemohl proto posoudit, zda je z pohledu objemu nedoplatků efektivnější, spravují-li daň přímo její příjemci, tedy obce, nebo jako v případě České republiky finanční správa“.</w:t>
      </w:r>
    </w:p>
    <w:p w:rsidR="002C3CFA" w:rsidRPr="001F6809" w:rsidRDefault="002C3CFA" w:rsidP="001F6809">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Finanční správa nepodceňuje žádný z nedoplatků, které eviduje. K zabezpečení jejich efektivního vymáhání vytváří interní předpisy, které stanoví postup správce daně v této oblasti. Sekce metodiky a výkonu daní GFŘ vydala v roce 2013 Pokyn k základním zásadám k zefektivnění vymáhací činnosti finančních úřadů od roku 2013 (dále jen „Pokyn“), který byl aktualizován v listopadu 2015 po vyhodnocení první fáze projektu zefektivnění vymáhací činnosti materiálem: „Zásady efektivity vymáhací činnosti finančních úřadů“. Jedním z</w:t>
      </w:r>
      <w:r>
        <w:rPr>
          <w:rFonts w:ascii="Arial" w:hAnsi="Arial" w:cs="Arial"/>
          <w:sz w:val="22"/>
          <w:szCs w:val="22"/>
        </w:rPr>
        <w:t> </w:t>
      </w:r>
      <w:r w:rsidRPr="001F6809">
        <w:rPr>
          <w:rFonts w:ascii="Arial" w:hAnsi="Arial" w:cs="Arial"/>
          <w:sz w:val="22"/>
          <w:szCs w:val="22"/>
        </w:rPr>
        <w:t>hlavních cílů obou jmenovaných materiálů bylo stanovení a sjednocení pravidel pro předávání nedoplatků do vymáhání. Nedoplatky byly rozděleny do kategorií, kdy jednou z</w:t>
      </w:r>
      <w:r>
        <w:rPr>
          <w:rFonts w:ascii="Arial" w:hAnsi="Arial" w:cs="Arial"/>
          <w:sz w:val="22"/>
          <w:szCs w:val="22"/>
        </w:rPr>
        <w:t> </w:t>
      </w:r>
      <w:r w:rsidRPr="001F6809">
        <w:rPr>
          <w:rFonts w:ascii="Arial" w:hAnsi="Arial" w:cs="Arial"/>
          <w:sz w:val="22"/>
          <w:szCs w:val="22"/>
        </w:rPr>
        <w:t>nich jsou bagatelní nedoplatky do 5000,- Kč. Pro předávání bagatelních nedoplatků do vymáhání byla v Pokynu stanovena lhůta 6 měsíců. Jednalo se pouze o doporučení s</w:t>
      </w:r>
      <w:r>
        <w:rPr>
          <w:rFonts w:ascii="Arial" w:hAnsi="Arial" w:cs="Arial"/>
          <w:sz w:val="22"/>
          <w:szCs w:val="22"/>
        </w:rPr>
        <w:t> </w:t>
      </w:r>
      <w:r w:rsidRPr="001F6809">
        <w:rPr>
          <w:rFonts w:ascii="Arial" w:hAnsi="Arial" w:cs="Arial"/>
          <w:sz w:val="22"/>
          <w:szCs w:val="22"/>
        </w:rPr>
        <w:t xml:space="preserve">odkazem na kapacitní možnosti správce daně. Po vyhodnocení projektu byla tato lhůta stanovena na 24 měsíců, přičemž tuto úpravu je nutné vnímat jako přesné stanovení maximální délky pro předání do vymáhání, nikoli jako pouhé doporučení. </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Finanční správa zaznamenala, že v minulosti se správci daně přednostně zabývali relativně jednoduchými bagatelními nedoplatky a na tzv. „velké“ dlužníky již nezbyly kapacity nebo se k vymáhání přistoupilo teprve v době, kdy již byli tito dlužníci nemajetní. Toto potvrzovala statistická zjištění, že nedoplatky nad 100 milionů dosahují výše 107,9 mld. Kč (údaj k 31. 12. 2015). V důsledku toho se Finanční správa rozhodla prioritně zaměřit právě na tyto nedoplatky. Dále se Finanční správa dlouhodobě zabývá strategií vymáhání nedoplatků. Místo pasivního čekání na vznik nedoplatku zvolila aktivní přístup k vyhledávání potenciálních dlužníků, mj. i těch,</w:t>
      </w:r>
      <w:r>
        <w:rPr>
          <w:rFonts w:ascii="Arial" w:hAnsi="Arial" w:cs="Arial"/>
          <w:sz w:val="22"/>
          <w:szCs w:val="22"/>
        </w:rPr>
        <w:t xml:space="preserve"> kteří organizovaně připravují </w:t>
      </w:r>
      <w:r w:rsidRPr="001F6809">
        <w:rPr>
          <w:rFonts w:ascii="Arial" w:hAnsi="Arial" w:cs="Arial"/>
          <w:sz w:val="22"/>
          <w:szCs w:val="22"/>
        </w:rPr>
        <w:t>tzv. karuselové podvody (k</w:t>
      </w:r>
      <w:r>
        <w:rPr>
          <w:rFonts w:ascii="Arial" w:hAnsi="Arial" w:cs="Arial"/>
          <w:sz w:val="22"/>
          <w:szCs w:val="22"/>
        </w:rPr>
        <w:t> </w:t>
      </w:r>
      <w:r w:rsidRPr="001F6809">
        <w:rPr>
          <w:rFonts w:ascii="Arial" w:hAnsi="Arial" w:cs="Arial"/>
          <w:sz w:val="22"/>
          <w:szCs w:val="22"/>
        </w:rPr>
        <w:t xml:space="preserve">tomu využívá prostředků daných zákonem – vydávání zajišťovacích příkazů, vydávání rozhodnutí o zřízení zástavních práv apod.). </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 xml:space="preserve">Kromě uvedeného lze dále uvést několik důvodů svědčících pro výše uvedenou úpravu lhůty pro předání bagatelních nedoplatků do vymáhání. Jedním z nich je snaha zabránit </w:t>
      </w:r>
      <w:r w:rsidRPr="001F6809">
        <w:rPr>
          <w:rFonts w:ascii="Arial" w:hAnsi="Arial" w:cs="Arial"/>
          <w:sz w:val="22"/>
          <w:szCs w:val="22"/>
        </w:rPr>
        <w:lastRenderedPageBreak/>
        <w:t>v</w:t>
      </w:r>
      <w:r>
        <w:rPr>
          <w:rFonts w:ascii="Arial" w:hAnsi="Arial" w:cs="Arial"/>
          <w:sz w:val="22"/>
          <w:szCs w:val="22"/>
        </w:rPr>
        <w:t> </w:t>
      </w:r>
      <w:r w:rsidRPr="001F6809">
        <w:rPr>
          <w:rFonts w:ascii="Arial" w:hAnsi="Arial" w:cs="Arial"/>
          <w:sz w:val="22"/>
          <w:szCs w:val="22"/>
        </w:rPr>
        <w:t>předávání bagatelních nedoplatků do vymáhání těsně před koncem lhůty pro placení daní. Další důvod lze spatřovat v nutnosti postupovat při vymáhání bagatelních nedoplatků v</w:t>
      </w:r>
      <w:r>
        <w:rPr>
          <w:rFonts w:ascii="Arial" w:hAnsi="Arial" w:cs="Arial"/>
          <w:sz w:val="22"/>
          <w:szCs w:val="22"/>
        </w:rPr>
        <w:t> </w:t>
      </w:r>
      <w:r w:rsidRPr="001F6809">
        <w:rPr>
          <w:rFonts w:ascii="Arial" w:hAnsi="Arial" w:cs="Arial"/>
          <w:sz w:val="22"/>
          <w:szCs w:val="22"/>
        </w:rPr>
        <w:t>souladu se základními zásadami daňového řízení, zejména se zásadou přiměřenosti a</w:t>
      </w:r>
      <w:r>
        <w:rPr>
          <w:rFonts w:ascii="Arial" w:hAnsi="Arial" w:cs="Arial"/>
          <w:sz w:val="22"/>
          <w:szCs w:val="22"/>
        </w:rPr>
        <w:t> </w:t>
      </w:r>
      <w:r w:rsidRPr="001F6809">
        <w:rPr>
          <w:rFonts w:ascii="Arial" w:hAnsi="Arial" w:cs="Arial"/>
          <w:sz w:val="22"/>
          <w:szCs w:val="22"/>
        </w:rPr>
        <w:t>hospodárnosti, a to s přihlédnutím k poměru bagatelního nedoplatku k minimální výši exekučních nákladů (minimální výše exekučních nákladů je 500,-Kč). Nedoplatek tak bývá často menší, než jsou tyto minimální exekuční náklady. Správce daně se z tohoto důvodu právě u těchto bagatelních nedoplatků snaží v první řadě daňový subjekt neformálně vyrozumět o jejich výši (e-mailem, telefonicky, zasláním složenky či jinými způsoby), a teprve poté předat tento nedoplatek k vymáhání. Právě touto neinvazivní cestou se daří velkou část těchto nedoplatků umořit. Toto řešení je výhodné nejen pro daňové subjekty, ale</w:t>
      </w:r>
      <w:r w:rsidR="00016116">
        <w:rPr>
          <w:rFonts w:ascii="Arial" w:hAnsi="Arial" w:cs="Arial"/>
          <w:sz w:val="22"/>
          <w:szCs w:val="22"/>
        </w:rPr>
        <w:t> </w:t>
      </w:r>
      <w:r w:rsidRPr="001F6809">
        <w:rPr>
          <w:rFonts w:ascii="Arial" w:hAnsi="Arial" w:cs="Arial"/>
          <w:sz w:val="22"/>
          <w:szCs w:val="22"/>
        </w:rPr>
        <w:t>i</w:t>
      </w:r>
      <w:r>
        <w:rPr>
          <w:rFonts w:ascii="Arial" w:hAnsi="Arial" w:cs="Arial"/>
          <w:sz w:val="22"/>
          <w:szCs w:val="22"/>
        </w:rPr>
        <w:t> </w:t>
      </w:r>
      <w:r w:rsidRPr="001F6809">
        <w:rPr>
          <w:rFonts w:ascii="Arial" w:hAnsi="Arial" w:cs="Arial"/>
          <w:sz w:val="22"/>
          <w:szCs w:val="22"/>
        </w:rPr>
        <w:t>efektivnější pro Finanční správu. Výše uvedený postup je v souladu s doporučením veřejného ochránce práv právě pro tyto případy.</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Je nutné si uvědomit, o jak obrovský objem jednotlivých případů se jedná, jen na dani z</w:t>
      </w:r>
      <w:r>
        <w:rPr>
          <w:rFonts w:ascii="Arial" w:hAnsi="Arial" w:cs="Arial"/>
          <w:sz w:val="22"/>
          <w:szCs w:val="22"/>
        </w:rPr>
        <w:t> </w:t>
      </w:r>
      <w:r w:rsidRPr="001F6809">
        <w:rPr>
          <w:rFonts w:ascii="Arial" w:hAnsi="Arial" w:cs="Arial"/>
          <w:sz w:val="22"/>
          <w:szCs w:val="22"/>
        </w:rPr>
        <w:t xml:space="preserve">nemovitých věcí se jedná o více než 4 mil. poplatníků. Právě tato daň tvoří největší podíl bagatelních nedoplatků (v řádech stokorun). Pokud by byly tyto nedoplatky v tomto obrovském objemu předány do vymáhání, došlo by k zahlcení vymáhacích útvarů. Tím by Finanční správě zákonitě poklesl objem vymožených částek, neboť by došlo k potlačení shora popsané aktivní strategie Finanční správy. </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 xml:space="preserve">Přestože NKÚ ve svých závěrech z Kontrolní akce číslo 15/15 </w:t>
      </w:r>
      <w:r>
        <w:rPr>
          <w:rFonts w:ascii="Arial" w:hAnsi="Arial" w:cs="Arial"/>
          <w:sz w:val="22"/>
          <w:szCs w:val="22"/>
        </w:rPr>
        <w:t xml:space="preserve">v rámci tiskové zprávy vydané dne </w:t>
      </w:r>
      <w:r w:rsidRPr="001F6809">
        <w:rPr>
          <w:rFonts w:ascii="Arial" w:hAnsi="Arial" w:cs="Arial"/>
          <w:sz w:val="22"/>
          <w:szCs w:val="22"/>
        </w:rPr>
        <w:t>21. 3. 2016 uvádí, že tzv. bagatelní nedoplatky představují pouze 4 % z celkových nedoplatků, Finanční správa na vymáhání těchto nedoplatků v žádném případě nerezignovala. Pro tento fakt hovoří statistické údaje, které u daně z nemovitých věcí vykazují mírný pokles, resp. současný stav nedoplatků 810 milionů Kč odpovídá stavu z</w:t>
      </w:r>
      <w:r>
        <w:rPr>
          <w:rFonts w:ascii="Arial" w:hAnsi="Arial" w:cs="Arial"/>
          <w:sz w:val="22"/>
          <w:szCs w:val="22"/>
        </w:rPr>
        <w:t> </w:t>
      </w:r>
      <w:r w:rsidRPr="001F6809">
        <w:rPr>
          <w:rFonts w:ascii="Arial" w:hAnsi="Arial" w:cs="Arial"/>
          <w:sz w:val="22"/>
          <w:szCs w:val="22"/>
        </w:rPr>
        <w:t>měsíce května roku 2014 (821 milionů Kč). Finanční správa nemá důvod se domnívat, že se vymáhání bagatelních nedoplatků přijatými opatřeními zhorší. NKÚ ve své správě svoji hypotézu o negativním vývoji nepodložilo žádnými statistickými údaji, není tudíž jasné, na</w:t>
      </w:r>
      <w:r w:rsidR="00016116">
        <w:rPr>
          <w:rFonts w:ascii="Arial" w:hAnsi="Arial" w:cs="Arial"/>
          <w:sz w:val="22"/>
          <w:szCs w:val="22"/>
        </w:rPr>
        <w:t> </w:t>
      </w:r>
      <w:r w:rsidRPr="001F6809">
        <w:rPr>
          <w:rFonts w:ascii="Arial" w:hAnsi="Arial" w:cs="Arial"/>
          <w:sz w:val="22"/>
          <w:szCs w:val="22"/>
        </w:rPr>
        <w:t xml:space="preserve">základě čeho své závěry učinilo. </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V připravované koncepci vymáhání se Finanční správa hodlá do budoucna zaměřit na</w:t>
      </w:r>
      <w:r w:rsidR="00016116">
        <w:rPr>
          <w:rFonts w:ascii="Arial" w:hAnsi="Arial" w:cs="Arial"/>
          <w:sz w:val="22"/>
          <w:szCs w:val="22"/>
        </w:rPr>
        <w:t> </w:t>
      </w:r>
      <w:r w:rsidRPr="001F6809">
        <w:rPr>
          <w:rFonts w:ascii="Arial" w:hAnsi="Arial" w:cs="Arial"/>
          <w:sz w:val="22"/>
          <w:szCs w:val="22"/>
        </w:rPr>
        <w:t>vytvoření dalších systémových opatření, která by měla zvýšit efektivitu vymáhání.</w:t>
      </w:r>
    </w:p>
    <w:p w:rsidR="002C3CFA" w:rsidRPr="001F6809" w:rsidRDefault="002C3CFA" w:rsidP="001F6809">
      <w:pPr>
        <w:autoSpaceDE w:val="0"/>
        <w:autoSpaceDN w:val="0"/>
        <w:adjustRightInd w:val="0"/>
        <w:jc w:val="both"/>
        <w:outlineLvl w:val="0"/>
        <w:rPr>
          <w:rFonts w:ascii="Arial" w:hAnsi="Arial" w:cs="Arial"/>
          <w:bCs/>
          <w:i/>
          <w:iCs/>
          <w:sz w:val="22"/>
          <w:szCs w:val="22"/>
          <w:u w:val="single"/>
        </w:rPr>
      </w:pPr>
    </w:p>
    <w:p w:rsidR="002C3CFA" w:rsidRPr="001F6809" w:rsidRDefault="002C3CFA" w:rsidP="001F6809">
      <w:pPr>
        <w:autoSpaceDE w:val="0"/>
        <w:autoSpaceDN w:val="0"/>
        <w:adjustRightInd w:val="0"/>
        <w:jc w:val="both"/>
        <w:outlineLvl w:val="0"/>
        <w:rPr>
          <w:rFonts w:ascii="Arial" w:hAnsi="Arial" w:cs="Arial"/>
          <w:bCs/>
          <w:iCs/>
          <w:sz w:val="22"/>
          <w:szCs w:val="22"/>
          <w:u w:val="single"/>
        </w:rPr>
      </w:pPr>
      <w:r w:rsidRPr="001F6809">
        <w:rPr>
          <w:rFonts w:ascii="Arial" w:hAnsi="Arial" w:cs="Arial"/>
          <w:bCs/>
          <w:iCs/>
          <w:sz w:val="22"/>
          <w:szCs w:val="22"/>
          <w:u w:val="single"/>
        </w:rPr>
        <w:t>Opatření:</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Finanční správa připravuje novou koncepci vymáhání, v níž se hodlá zaměřit na změny některých dosavadních a vytvoření nových systémových opatření, která by měla zvýšit efektivitu vymáhání nedoplatků.</w:t>
      </w:r>
    </w:p>
    <w:p w:rsidR="002C3CFA" w:rsidRPr="001F6809" w:rsidRDefault="002C3CFA" w:rsidP="001F6809">
      <w:pPr>
        <w:autoSpaceDE w:val="0"/>
        <w:autoSpaceDN w:val="0"/>
        <w:adjustRightInd w:val="0"/>
        <w:jc w:val="both"/>
        <w:outlineLvl w:val="0"/>
        <w:rPr>
          <w:rFonts w:ascii="Arial" w:hAnsi="Arial" w:cs="Arial"/>
          <w:bCs/>
          <w:i/>
          <w:iCs/>
          <w:sz w:val="22"/>
          <w:szCs w:val="22"/>
          <w:u w:val="single"/>
        </w:rPr>
      </w:pPr>
    </w:p>
    <w:p w:rsidR="002C3CFA" w:rsidRPr="001F6809" w:rsidRDefault="002C3CFA" w:rsidP="001F6809">
      <w:pPr>
        <w:autoSpaceDE w:val="0"/>
        <w:autoSpaceDN w:val="0"/>
        <w:adjustRightInd w:val="0"/>
        <w:jc w:val="both"/>
        <w:outlineLvl w:val="0"/>
        <w:rPr>
          <w:rFonts w:ascii="Arial" w:hAnsi="Arial" w:cs="Arial"/>
          <w:bCs/>
          <w:iCs/>
          <w:sz w:val="22"/>
          <w:szCs w:val="22"/>
          <w:u w:val="single"/>
        </w:rPr>
      </w:pPr>
      <w:r w:rsidRPr="001F6809">
        <w:rPr>
          <w:rFonts w:ascii="Arial" w:hAnsi="Arial" w:cs="Arial"/>
          <w:bCs/>
          <w:iCs/>
          <w:sz w:val="22"/>
          <w:szCs w:val="22"/>
          <w:u w:val="single"/>
        </w:rPr>
        <w:t>Termín:</w:t>
      </w:r>
    </w:p>
    <w:p w:rsidR="002C3CFA" w:rsidRPr="001F6809" w:rsidRDefault="002C3CFA" w:rsidP="001F6809">
      <w:pPr>
        <w:autoSpaceDE w:val="0"/>
        <w:autoSpaceDN w:val="0"/>
        <w:adjustRightInd w:val="0"/>
        <w:jc w:val="both"/>
        <w:outlineLvl w:val="0"/>
        <w:rPr>
          <w:rFonts w:ascii="Arial" w:hAnsi="Arial" w:cs="Arial"/>
          <w:bCs/>
          <w:iCs/>
          <w:sz w:val="22"/>
          <w:szCs w:val="22"/>
        </w:rPr>
      </w:pPr>
      <w:r w:rsidRPr="001F6809">
        <w:rPr>
          <w:rFonts w:ascii="Arial" w:hAnsi="Arial" w:cs="Arial"/>
          <w:bCs/>
          <w:iCs/>
          <w:sz w:val="22"/>
          <w:szCs w:val="22"/>
        </w:rPr>
        <w:t>Krátkodobá a část střednědobých opatření do konce roku 2016. Část střednědobých a</w:t>
      </w:r>
      <w:r>
        <w:rPr>
          <w:rFonts w:ascii="Arial" w:hAnsi="Arial" w:cs="Arial"/>
          <w:bCs/>
          <w:iCs/>
          <w:sz w:val="22"/>
          <w:szCs w:val="22"/>
        </w:rPr>
        <w:t> </w:t>
      </w:r>
      <w:r w:rsidRPr="001F6809">
        <w:rPr>
          <w:rFonts w:ascii="Arial" w:hAnsi="Arial" w:cs="Arial"/>
          <w:bCs/>
          <w:iCs/>
          <w:sz w:val="22"/>
          <w:szCs w:val="22"/>
        </w:rPr>
        <w:t>dlouhodobá opatření do konce roku 2017.</w:t>
      </w:r>
    </w:p>
    <w:p w:rsidR="002C3CFA"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5E6C4A" w:rsidRDefault="002C3CFA" w:rsidP="001F6809">
      <w:pPr>
        <w:autoSpaceDE w:val="0"/>
        <w:autoSpaceDN w:val="0"/>
        <w:adjustRightInd w:val="0"/>
        <w:jc w:val="both"/>
        <w:rPr>
          <w:rFonts w:ascii="Arial" w:hAnsi="Arial" w:cs="Arial"/>
          <w:b/>
          <w:bCs/>
          <w:sz w:val="22"/>
          <w:szCs w:val="22"/>
        </w:rPr>
      </w:pPr>
      <w:r w:rsidRPr="005E6C4A">
        <w:rPr>
          <w:rFonts w:ascii="Arial" w:hAnsi="Arial" w:cs="Arial"/>
          <w:b/>
          <w:bCs/>
          <w:sz w:val="22"/>
          <w:szCs w:val="22"/>
        </w:rPr>
        <w:t>2. Daň z nabytí nemovitých věcí</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„Údaje uvedené v tabulce </w:t>
      </w:r>
      <w:r>
        <w:rPr>
          <w:rFonts w:ascii="Arial" w:hAnsi="Arial" w:cs="Arial"/>
          <w:i/>
          <w:sz w:val="22"/>
          <w:szCs w:val="22"/>
        </w:rPr>
        <w:t xml:space="preserve">(tab. č. 4, str. 9 Kontrolního závěru) </w:t>
      </w:r>
      <w:r w:rsidRPr="001F6809">
        <w:rPr>
          <w:rFonts w:ascii="Arial" w:hAnsi="Arial" w:cs="Arial"/>
          <w:i/>
          <w:sz w:val="22"/>
          <w:szCs w:val="22"/>
        </w:rPr>
        <w:t xml:space="preserve">u daně z převodu nemovitostí za rok 2014 představují doběh daňových povinností vyměřených podle právní úpravy účinné do 31. 12. 2013. Důvodem rozdílu mezi inkasem a daňovou povinností daně z nabytí nemovitých věcí ve výši cca 2 mld. Kč byl v roce 2014 vysoký podíl nevyměřených podaných daňových přiznání a zálohové placení daně při použití směrné hodnoty pro stanovení základu daně.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Podle právní úpravy účinné do 31. 12. 2013 byla základem daně cena zjištěná podle znaleckého posudku nebo cena sjednaná, pokud převyšovala cenu zjištěnou. Od 1. 1. 2014 je základem daně nabývací hodnota snížená o uznatelný výdaj. Nabývací hodnotou může být sjednaná cena, zjištěná cena, zvláštní cena nebo srovnávací daňová hodnota.</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b/>
          <w:bCs/>
          <w:i/>
          <w:sz w:val="22"/>
          <w:szCs w:val="22"/>
        </w:rPr>
        <w:t xml:space="preserve">Sjednaná cena </w:t>
      </w:r>
      <w:r w:rsidRPr="001F6809">
        <w:rPr>
          <w:rFonts w:ascii="Arial" w:hAnsi="Arial" w:cs="Arial"/>
          <w:i/>
          <w:sz w:val="22"/>
          <w:szCs w:val="22"/>
        </w:rPr>
        <w:t xml:space="preserve">– úplata za nabytí vlastnického práva k nemovité věci. Sjednaná cena je základem daně, pokud je vyšší nebo rovna srovnávací daňové hodnotě, nebo v případech </w:t>
      </w:r>
      <w:r w:rsidRPr="001F6809">
        <w:rPr>
          <w:rFonts w:ascii="Arial" w:hAnsi="Arial" w:cs="Arial"/>
          <w:i/>
          <w:sz w:val="22"/>
          <w:szCs w:val="22"/>
        </w:rPr>
        <w:lastRenderedPageBreak/>
        <w:t>stanovených zákonným opatřením č. 340/2013 Sb. (např. nabytí vlastnického práva k</w:t>
      </w:r>
      <w:r>
        <w:rPr>
          <w:rFonts w:ascii="Arial" w:hAnsi="Arial" w:cs="Arial"/>
          <w:i/>
          <w:sz w:val="22"/>
          <w:szCs w:val="22"/>
        </w:rPr>
        <w:t> </w:t>
      </w:r>
      <w:r w:rsidRPr="001F6809">
        <w:rPr>
          <w:rFonts w:ascii="Arial" w:hAnsi="Arial" w:cs="Arial"/>
          <w:i/>
          <w:sz w:val="22"/>
          <w:szCs w:val="22"/>
        </w:rPr>
        <w:t>nemovité věci územním samosprávným celkem).</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b/>
          <w:bCs/>
          <w:i/>
          <w:sz w:val="22"/>
          <w:szCs w:val="22"/>
        </w:rPr>
        <w:t xml:space="preserve">Zjištěná cena </w:t>
      </w:r>
      <w:r w:rsidRPr="001F6809">
        <w:rPr>
          <w:rFonts w:ascii="Arial" w:hAnsi="Arial" w:cs="Arial"/>
          <w:i/>
          <w:sz w:val="22"/>
          <w:szCs w:val="22"/>
        </w:rPr>
        <w:t>– cena zjištěná podle zákona upravujícího oceňování majetku. Užije se v</w:t>
      </w:r>
      <w:r>
        <w:rPr>
          <w:rFonts w:ascii="Arial" w:hAnsi="Arial" w:cs="Arial"/>
          <w:i/>
          <w:sz w:val="22"/>
          <w:szCs w:val="22"/>
        </w:rPr>
        <w:t> </w:t>
      </w:r>
      <w:r w:rsidRPr="001F6809">
        <w:rPr>
          <w:rFonts w:ascii="Arial" w:hAnsi="Arial" w:cs="Arial"/>
          <w:i/>
          <w:sz w:val="22"/>
          <w:szCs w:val="22"/>
        </w:rPr>
        <w:t>případech, kdy nelze cenu nemovité věci stanovit jiným způsobem, nebo v případech stanovených zákonným opatřením č. 340/2013 Sb. (např. u finančního leasingu, nabytí vlastnického práva k obchodnímu závodu nebo části).</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b/>
          <w:bCs/>
          <w:i/>
          <w:sz w:val="22"/>
          <w:szCs w:val="22"/>
        </w:rPr>
        <w:t xml:space="preserve">Zvláštní cena </w:t>
      </w:r>
      <w:r w:rsidRPr="001F6809">
        <w:rPr>
          <w:rFonts w:ascii="Arial" w:hAnsi="Arial" w:cs="Arial"/>
          <w:i/>
          <w:sz w:val="22"/>
          <w:szCs w:val="22"/>
        </w:rPr>
        <w:t xml:space="preserve">– cena dosažená vydražením nebo </w:t>
      </w:r>
      <w:proofErr w:type="spellStart"/>
      <w:r w:rsidRPr="001F6809">
        <w:rPr>
          <w:rFonts w:ascii="Arial" w:hAnsi="Arial" w:cs="Arial"/>
          <w:i/>
          <w:sz w:val="22"/>
          <w:szCs w:val="22"/>
        </w:rPr>
        <w:t>předražkem</w:t>
      </w:r>
      <w:proofErr w:type="spellEnd"/>
      <w:r w:rsidRPr="001F6809">
        <w:rPr>
          <w:rFonts w:ascii="Arial" w:hAnsi="Arial" w:cs="Arial"/>
          <w:i/>
          <w:sz w:val="22"/>
          <w:szCs w:val="22"/>
        </w:rPr>
        <w:t xml:space="preserve"> při výkonu rozhodnutí prodejem nemovité věci podle občanského soudního řádu, exekucí prodejem nemovité věci podle exekučního řádu, cena dosažená při daňové exekuci prodejem nemovité věci podle daňového řádu nebo při prodeji nemovité věci ve veřejné dražbě podle zákona upravujícího veřejné dražby.</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b/>
          <w:bCs/>
          <w:i/>
          <w:sz w:val="22"/>
          <w:szCs w:val="22"/>
        </w:rPr>
        <w:t xml:space="preserve">Srovnávací daňová hodnota </w:t>
      </w:r>
      <w:r w:rsidRPr="001F6809">
        <w:rPr>
          <w:rFonts w:ascii="Arial" w:hAnsi="Arial" w:cs="Arial"/>
          <w:i/>
          <w:sz w:val="22"/>
          <w:szCs w:val="22"/>
        </w:rPr>
        <w:t>– částka odpovídající 75 % směrné hodnoty nebo 75 % zjištěné ceny. Poplatník daně z nabytí nemovitých věcí si může zvolit, kterou hodnotu (zda směrnou hodnotu, nebo cenu zjištěnou) použije k jejímu stanovení. Srovnávací daňová hodnota se porovná se sjednanou cenou, základem daně je vyšší z hodnot.</w:t>
      </w:r>
      <w:r>
        <w:rPr>
          <w:rFonts w:ascii="Arial" w:hAnsi="Arial" w:cs="Arial"/>
          <w:i/>
          <w:sz w:val="22"/>
          <w:szCs w:val="22"/>
        </w:rPr>
        <w:t>“</w:t>
      </w:r>
    </w:p>
    <w:p w:rsidR="002C3CFA" w:rsidRPr="001F6809" w:rsidRDefault="002C3CFA" w:rsidP="00C95C08">
      <w:pPr>
        <w:autoSpaceDE w:val="0"/>
        <w:autoSpaceDN w:val="0"/>
        <w:adjustRightInd w:val="0"/>
        <w:jc w:val="both"/>
        <w:rPr>
          <w:rFonts w:ascii="Arial" w:hAnsi="Arial" w:cs="Arial"/>
          <w:i/>
          <w:sz w:val="22"/>
          <w:szCs w:val="22"/>
        </w:rPr>
      </w:pPr>
      <w:r w:rsidRPr="0064562E">
        <w:rPr>
          <w:rFonts w:ascii="Arial" w:hAnsi="Arial" w:cs="Arial"/>
          <w:bCs/>
          <w:i/>
          <w:sz w:val="22"/>
          <w:szCs w:val="22"/>
        </w:rPr>
        <w:t>„</w:t>
      </w:r>
      <w:r w:rsidRPr="001F6809">
        <w:rPr>
          <w:rFonts w:ascii="Arial" w:hAnsi="Arial" w:cs="Arial"/>
          <w:b/>
          <w:bCs/>
          <w:i/>
          <w:sz w:val="22"/>
          <w:szCs w:val="22"/>
        </w:rPr>
        <w:t xml:space="preserve">Směrná hodnota </w:t>
      </w:r>
      <w:r w:rsidRPr="001F6809">
        <w:rPr>
          <w:rFonts w:ascii="Arial" w:hAnsi="Arial" w:cs="Arial"/>
          <w:i/>
          <w:sz w:val="22"/>
          <w:szCs w:val="22"/>
        </w:rPr>
        <w:t>vychází z cen nemovitých věcí v místě nemovité věci, ve srovnatelném časovém období a zohledňuje druh, polohu, účel, stav, stáří, vybavení a stavebně technické parametry nemovité věci. Směrnou hodnotu si poplatník sám nevypočítává, pouze v</w:t>
      </w:r>
      <w:r>
        <w:rPr>
          <w:rFonts w:ascii="Arial" w:hAnsi="Arial" w:cs="Arial"/>
          <w:i/>
          <w:sz w:val="22"/>
          <w:szCs w:val="22"/>
        </w:rPr>
        <w:t> </w:t>
      </w:r>
      <w:r w:rsidRPr="001F6809">
        <w:rPr>
          <w:rFonts w:ascii="Arial" w:hAnsi="Arial" w:cs="Arial"/>
          <w:i/>
          <w:sz w:val="22"/>
          <w:szCs w:val="22"/>
        </w:rPr>
        <w:t xml:space="preserve">daňovém přiznání uvádí údaje nezbytné pro její výpočet provedený správcem daně. Postup k určení směrné hodnoty upravuje vyhláška Ministerstva financí č. 419/2013 Sb. </w:t>
      </w:r>
    </w:p>
    <w:p w:rsidR="002C3CFA" w:rsidRPr="001F6809" w:rsidRDefault="002C3CFA" w:rsidP="00C95C08">
      <w:pPr>
        <w:autoSpaceDE w:val="0"/>
        <w:autoSpaceDN w:val="0"/>
        <w:adjustRightInd w:val="0"/>
        <w:jc w:val="both"/>
        <w:rPr>
          <w:rFonts w:ascii="Arial" w:hAnsi="Arial" w:cs="Arial"/>
          <w:i/>
          <w:sz w:val="22"/>
          <w:szCs w:val="22"/>
        </w:rPr>
      </w:pPr>
      <w:r w:rsidRPr="001F6809">
        <w:rPr>
          <w:rFonts w:ascii="Arial" w:hAnsi="Arial" w:cs="Arial"/>
          <w:i/>
          <w:sz w:val="22"/>
          <w:szCs w:val="22"/>
        </w:rPr>
        <w:t>Zavedení směrné hodnoty představuje významnou změnu ve stanovení základu daně. Ve</w:t>
      </w:r>
      <w:r w:rsidR="00016116">
        <w:rPr>
          <w:rFonts w:ascii="Arial" w:hAnsi="Arial" w:cs="Arial"/>
          <w:i/>
          <w:sz w:val="22"/>
          <w:szCs w:val="22"/>
        </w:rPr>
        <w:t> </w:t>
      </w:r>
      <w:r w:rsidRPr="001F6809">
        <w:rPr>
          <w:rFonts w:ascii="Arial" w:hAnsi="Arial" w:cs="Arial"/>
          <w:i/>
          <w:sz w:val="22"/>
          <w:szCs w:val="22"/>
        </w:rPr>
        <w:t>většině členských států EU je základem daně či poplatku tržní hodnota nebo kupní cena převáděné nemovitosti. Obecně se v zemích EU předložení znaleckého posudku požaduje pouze ve vybraných případech, např. při převodech státního majetku (např. v Maďarsku a</w:t>
      </w:r>
      <w:r>
        <w:rPr>
          <w:rFonts w:ascii="Arial" w:hAnsi="Arial" w:cs="Arial"/>
          <w:i/>
          <w:sz w:val="22"/>
          <w:szCs w:val="22"/>
        </w:rPr>
        <w:t> </w:t>
      </w:r>
      <w:r w:rsidRPr="001F6809">
        <w:rPr>
          <w:rFonts w:ascii="Arial" w:hAnsi="Arial" w:cs="Arial"/>
          <w:i/>
          <w:sz w:val="22"/>
          <w:szCs w:val="22"/>
        </w:rPr>
        <w:t>Polsku).</w:t>
      </w:r>
    </w:p>
    <w:p w:rsidR="002C3CFA" w:rsidRPr="001F6809" w:rsidRDefault="002C3CFA" w:rsidP="00C95C08">
      <w:pPr>
        <w:autoSpaceDE w:val="0"/>
        <w:autoSpaceDN w:val="0"/>
        <w:adjustRightInd w:val="0"/>
        <w:jc w:val="both"/>
        <w:rPr>
          <w:rFonts w:ascii="Arial" w:hAnsi="Arial" w:cs="Arial"/>
          <w:i/>
          <w:sz w:val="22"/>
          <w:szCs w:val="22"/>
        </w:rPr>
      </w:pPr>
      <w:r w:rsidRPr="001F6809">
        <w:rPr>
          <w:rFonts w:ascii="Arial" w:hAnsi="Arial" w:cs="Arial"/>
          <w:i/>
          <w:sz w:val="22"/>
          <w:szCs w:val="22"/>
        </w:rPr>
        <w:t xml:space="preserve">V roce 2014 z celkového počtu 183 698 podaných daňových přiznání vyměřila finanční správa daň z nabytí nemovitých věcí pouze u 46,7 % DAP, a to z důvodu nepřipravenosti ADIS. Celá úloha byla funkční v základních parametrech až počátkem června 2014. </w:t>
      </w:r>
    </w:p>
    <w:p w:rsidR="002C3CFA" w:rsidRPr="001F6809" w:rsidRDefault="002C3CFA" w:rsidP="00C95C08">
      <w:pPr>
        <w:autoSpaceDE w:val="0"/>
        <w:autoSpaceDN w:val="0"/>
        <w:adjustRightInd w:val="0"/>
        <w:jc w:val="both"/>
        <w:rPr>
          <w:rFonts w:ascii="Arial" w:hAnsi="Arial" w:cs="Arial"/>
          <w:i/>
          <w:sz w:val="22"/>
          <w:szCs w:val="22"/>
        </w:rPr>
      </w:pPr>
      <w:r w:rsidRPr="001F6809">
        <w:rPr>
          <w:rFonts w:ascii="Arial" w:hAnsi="Arial" w:cs="Arial"/>
          <w:i/>
          <w:sz w:val="22"/>
          <w:szCs w:val="22"/>
        </w:rPr>
        <w:t>Počet podaných daňových přiznání, ve kterých byla pro určení srovnávací daňové hodnoty použita směrná hodnota, činil pouze 24,2 % z celkového počtu podaných daňových přiznání.</w:t>
      </w:r>
    </w:p>
    <w:p w:rsidR="002C3CFA" w:rsidRPr="001F6809" w:rsidRDefault="002C3CFA" w:rsidP="00C95C08">
      <w:pPr>
        <w:autoSpaceDE w:val="0"/>
        <w:autoSpaceDN w:val="0"/>
        <w:adjustRightInd w:val="0"/>
        <w:jc w:val="both"/>
        <w:rPr>
          <w:rFonts w:ascii="Arial" w:hAnsi="Arial" w:cs="Arial"/>
          <w:i/>
          <w:sz w:val="22"/>
          <w:szCs w:val="22"/>
        </w:rPr>
      </w:pPr>
      <w:r w:rsidRPr="001F6809">
        <w:rPr>
          <w:rFonts w:ascii="Arial" w:hAnsi="Arial" w:cs="Arial"/>
          <w:i/>
          <w:sz w:val="22"/>
          <w:szCs w:val="22"/>
        </w:rPr>
        <w:t xml:space="preserve">Na 11 ÚP kontrolovaných finančních úřadů zjistil NKÚ, že zatímco vyměření daně z převodu nemovitostí trvalo v letech 2012–2014 průměrně cca 75 dní, na vyměření daně z nabytí nemovitostí potřebovali správci daně v roce 2014 cca 114 dní. </w:t>
      </w:r>
    </w:p>
    <w:p w:rsidR="002C3CFA" w:rsidRPr="001F6809" w:rsidRDefault="002C3CFA" w:rsidP="00C95C08">
      <w:pPr>
        <w:autoSpaceDE w:val="0"/>
        <w:autoSpaceDN w:val="0"/>
        <w:adjustRightInd w:val="0"/>
        <w:jc w:val="both"/>
        <w:rPr>
          <w:rFonts w:ascii="Arial" w:hAnsi="Arial" w:cs="Arial"/>
          <w:i/>
          <w:sz w:val="22"/>
          <w:szCs w:val="22"/>
        </w:rPr>
      </w:pPr>
      <w:r w:rsidRPr="001F6809">
        <w:rPr>
          <w:rFonts w:ascii="Arial" w:hAnsi="Arial" w:cs="Arial"/>
          <w:i/>
          <w:sz w:val="22"/>
          <w:szCs w:val="22"/>
        </w:rPr>
        <w:t>Na délku vyměřovacího řízení měla vliv vedle postupného doplňování úlohy v ADIS i větší pracnost vyměřovacího řízení. Určování směrné hodnoty na základě poměrně složitých stavebně technických parametrů zvyšuje nároky na dodatečná šetření správců daně. Zvýšení administrativní náročnosti v důsledku zavedení směrné hodnoty předpokládala i</w:t>
      </w:r>
      <w:r>
        <w:rPr>
          <w:rFonts w:ascii="Arial" w:hAnsi="Arial" w:cs="Arial"/>
          <w:i/>
          <w:sz w:val="22"/>
          <w:szCs w:val="22"/>
        </w:rPr>
        <w:t> </w:t>
      </w:r>
      <w:r w:rsidRPr="001F6809">
        <w:rPr>
          <w:rFonts w:ascii="Arial" w:hAnsi="Arial" w:cs="Arial"/>
          <w:i/>
          <w:sz w:val="22"/>
          <w:szCs w:val="22"/>
        </w:rPr>
        <w:t>důvodová zpráva k návrhu zákonného opatření Senátu č. 340/2013 Sb. Podle této zprávy měla být</w:t>
      </w:r>
      <w:r>
        <w:rPr>
          <w:rFonts w:ascii="Arial" w:hAnsi="Arial" w:cs="Arial"/>
          <w:i/>
          <w:sz w:val="22"/>
          <w:szCs w:val="22"/>
        </w:rPr>
        <w:t xml:space="preserve"> </w:t>
      </w:r>
      <w:r w:rsidRPr="001F6809">
        <w:rPr>
          <w:rFonts w:ascii="Arial" w:hAnsi="Arial" w:cs="Arial"/>
          <w:i/>
          <w:sz w:val="22"/>
          <w:szCs w:val="22"/>
        </w:rPr>
        <w:t>zvýšená administrativní zátěž správců daně související se zavedením směrné hodnoty kompenzována z vlastních zdrojů, protože tato zátěž měla být vyvážena jinými změnami, mj. zrušením institutu ručitele (k tomu nedošlo) a zrušením daně dědické a daně darovací. Ve skutečnosti v roce 2014 došlo v odděleních majetkových daní k nárůstu systemizovaných míst o 130.“</w:t>
      </w:r>
    </w:p>
    <w:p w:rsidR="002C3CFA" w:rsidRPr="001F6809" w:rsidRDefault="002C3CFA" w:rsidP="0064562E">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t>Stanovisko:</w:t>
      </w:r>
    </w:p>
    <w:p w:rsidR="002C3CFA" w:rsidRDefault="002C3CFA" w:rsidP="0064562E">
      <w:pPr>
        <w:autoSpaceDE w:val="0"/>
        <w:autoSpaceDN w:val="0"/>
        <w:adjustRightInd w:val="0"/>
        <w:jc w:val="both"/>
        <w:rPr>
          <w:rFonts w:ascii="Arial" w:hAnsi="Arial" w:cs="Arial"/>
          <w:sz w:val="22"/>
          <w:szCs w:val="22"/>
          <w:highlight w:val="yellow"/>
        </w:rPr>
      </w:pPr>
      <w:r w:rsidRPr="001F6809">
        <w:rPr>
          <w:rFonts w:ascii="Arial" w:hAnsi="Arial" w:cs="Arial"/>
          <w:sz w:val="22"/>
          <w:szCs w:val="22"/>
        </w:rPr>
        <w:t xml:space="preserve">Krátká </w:t>
      </w:r>
      <w:proofErr w:type="spellStart"/>
      <w:r w:rsidRPr="001F6809">
        <w:rPr>
          <w:rFonts w:ascii="Arial" w:hAnsi="Arial" w:cs="Arial"/>
          <w:sz w:val="22"/>
          <w:szCs w:val="22"/>
        </w:rPr>
        <w:t>legisvakance</w:t>
      </w:r>
      <w:proofErr w:type="spellEnd"/>
      <w:r w:rsidRPr="001F6809">
        <w:rPr>
          <w:rFonts w:ascii="Arial" w:hAnsi="Arial" w:cs="Arial"/>
          <w:sz w:val="22"/>
          <w:szCs w:val="22"/>
        </w:rPr>
        <w:t xml:space="preserve"> zákonného opatření Senátu č. 340/2013 Sb., o dani z nabytí nemovitých věcí, včetně zásadní změny (osoba poplatníka) v návrhu </w:t>
      </w:r>
      <w:r w:rsidRPr="009C72D6">
        <w:rPr>
          <w:rFonts w:ascii="Arial" w:hAnsi="Arial" w:cs="Arial"/>
          <w:sz w:val="22"/>
          <w:szCs w:val="22"/>
        </w:rPr>
        <w:t xml:space="preserve"> nové právní úpravy byla zapříčiněna </w:t>
      </w:r>
      <w:r>
        <w:rPr>
          <w:rFonts w:ascii="Arial" w:hAnsi="Arial" w:cs="Arial"/>
          <w:sz w:val="22"/>
          <w:szCs w:val="22"/>
        </w:rPr>
        <w:t>neschválením</w:t>
      </w:r>
      <w:r w:rsidRPr="009C72D6">
        <w:rPr>
          <w:rFonts w:ascii="Arial" w:hAnsi="Arial" w:cs="Arial"/>
          <w:sz w:val="22"/>
          <w:szCs w:val="22"/>
        </w:rPr>
        <w:t> </w:t>
      </w:r>
      <w:r>
        <w:rPr>
          <w:rFonts w:ascii="Arial" w:hAnsi="Arial" w:cs="Arial"/>
          <w:sz w:val="22"/>
          <w:szCs w:val="22"/>
        </w:rPr>
        <w:t>původního</w:t>
      </w:r>
      <w:r w:rsidRPr="009C72D6">
        <w:rPr>
          <w:rFonts w:ascii="Arial" w:hAnsi="Arial" w:cs="Arial"/>
          <w:sz w:val="22"/>
          <w:szCs w:val="22"/>
        </w:rPr>
        <w:t xml:space="preserve"> návrhu právní úpravy (forma zákona)</w:t>
      </w:r>
      <w:r>
        <w:rPr>
          <w:rFonts w:ascii="Arial" w:hAnsi="Arial" w:cs="Arial"/>
          <w:sz w:val="22"/>
          <w:szCs w:val="22"/>
        </w:rPr>
        <w:t xml:space="preserve"> </w:t>
      </w:r>
      <w:r w:rsidRPr="009C72D6">
        <w:rPr>
          <w:rFonts w:ascii="Arial" w:hAnsi="Arial" w:cs="Arial"/>
          <w:sz w:val="22"/>
          <w:szCs w:val="22"/>
        </w:rPr>
        <w:t>Senát</w:t>
      </w:r>
      <w:r>
        <w:rPr>
          <w:rFonts w:ascii="Arial" w:hAnsi="Arial" w:cs="Arial"/>
          <w:sz w:val="22"/>
          <w:szCs w:val="22"/>
        </w:rPr>
        <w:t>em</w:t>
      </w:r>
      <w:r w:rsidRPr="009C72D6">
        <w:rPr>
          <w:rFonts w:ascii="Arial" w:hAnsi="Arial" w:cs="Arial"/>
          <w:sz w:val="22"/>
          <w:szCs w:val="22"/>
        </w:rPr>
        <w:t xml:space="preserve"> PČR v závěru legislativního procesu. K tomu je třeba uvést, že legislativní proces původního návrhu nové právní úpravy (zákon o dani z nabytí nemovitých věcí) byl zahájen v říjnu 2012, prošel řádným legislativním procesem až do fáze projednávání Senátem ČR. V dubnu 2013 Vláda ČR tento návrh zákona předložila Poslanecké sněmovně ČR, která jej v srpnu 2013 schválila a postoupila k projednávání Senátu ČR. V rámci tehdejší mimořádné politické situace dne 20. srpna 2013 schválila Poslanecká sněmovna ČR usnesení č. 1767, kterým bylo navrženo prezidentu republiky rozpuštění Poslanecké sněmovny podle čl. 35 odst. 2 </w:t>
      </w:r>
      <w:r w:rsidRPr="009C72D6">
        <w:rPr>
          <w:rFonts w:ascii="Arial" w:hAnsi="Arial" w:cs="Arial"/>
          <w:sz w:val="22"/>
          <w:szCs w:val="22"/>
        </w:rPr>
        <w:lastRenderedPageBreak/>
        <w:t>Ústavy České republiky.</w:t>
      </w:r>
      <w:r w:rsidRPr="009C72D6">
        <w:rPr>
          <w:rFonts w:ascii="Arial" w:hAnsi="Arial" w:cs="Arial"/>
          <w:iCs/>
          <w:sz w:val="22"/>
          <w:szCs w:val="22"/>
        </w:rPr>
        <w:t xml:space="preserve"> Prezident ČR rozpustil Poslaneckou sněmovnu ke dni 28. srpna 2013.</w:t>
      </w:r>
      <w:r>
        <w:t> </w:t>
      </w:r>
    </w:p>
    <w:p w:rsidR="002C3CFA" w:rsidRDefault="002C3CFA" w:rsidP="0064562E">
      <w:pPr>
        <w:autoSpaceDE w:val="0"/>
        <w:autoSpaceDN w:val="0"/>
        <w:adjustRightInd w:val="0"/>
        <w:jc w:val="both"/>
        <w:rPr>
          <w:rFonts w:ascii="Arial" w:hAnsi="Arial" w:cs="Arial"/>
          <w:sz w:val="22"/>
          <w:szCs w:val="22"/>
          <w:highlight w:val="yellow"/>
        </w:rPr>
      </w:pPr>
    </w:p>
    <w:p w:rsidR="002C3CFA" w:rsidRPr="009C72D6" w:rsidRDefault="002C3CFA" w:rsidP="009C72D6">
      <w:pPr>
        <w:spacing w:before="120"/>
        <w:jc w:val="both"/>
        <w:rPr>
          <w:rFonts w:ascii="Arial" w:hAnsi="Arial" w:cs="Arial"/>
          <w:bCs/>
          <w:sz w:val="22"/>
          <w:szCs w:val="22"/>
        </w:rPr>
      </w:pPr>
      <w:r w:rsidRPr="009C72D6">
        <w:rPr>
          <w:rFonts w:ascii="Arial" w:hAnsi="Arial" w:cs="Arial"/>
          <w:sz w:val="22"/>
          <w:szCs w:val="22"/>
        </w:rPr>
        <w:t xml:space="preserve">Přestože bylo od počátku poukazováno na důsledky nepřijetí nezbytných změn v daňových zákonech souvisejících s rekodifikací soukromého práva, nebyl původní návrh zákona o dani z nabytí nemovitých věcí Senátem ČR dne 12. září 2013 schválen (usnesení Senátu ČR </w:t>
      </w:r>
      <w:r>
        <w:rPr>
          <w:rFonts w:ascii="Arial" w:hAnsi="Arial" w:cs="Arial"/>
          <w:sz w:val="22"/>
          <w:szCs w:val="22"/>
        </w:rPr>
        <w:br/>
      </w:r>
      <w:r w:rsidRPr="009C72D6">
        <w:rPr>
          <w:rFonts w:ascii="Arial" w:hAnsi="Arial" w:cs="Arial"/>
          <w:sz w:val="22"/>
          <w:szCs w:val="22"/>
        </w:rPr>
        <w:t>č. 316). Jednalo se o velmi mimořádnou situaci, neboť neschválením návrhu zákona o dani z nabytí nemovitých věcí nebyla</w:t>
      </w:r>
      <w:r w:rsidRPr="009C72D6">
        <w:rPr>
          <w:rFonts w:ascii="Arial" w:hAnsi="Arial" w:cs="Arial"/>
          <w:b/>
          <w:sz w:val="22"/>
          <w:szCs w:val="22"/>
        </w:rPr>
        <w:t xml:space="preserve"> </w:t>
      </w:r>
      <w:r w:rsidRPr="009C72D6">
        <w:rPr>
          <w:rFonts w:ascii="Arial" w:hAnsi="Arial" w:cs="Arial"/>
          <w:sz w:val="22"/>
          <w:szCs w:val="22"/>
        </w:rPr>
        <w:t>právní úprava daně dědické, daně darovací a daně z převodu nemovitostí v té chvíli přizpůsobena rekodifikac</w:t>
      </w:r>
      <w:r>
        <w:rPr>
          <w:rFonts w:ascii="Arial" w:hAnsi="Arial" w:cs="Arial"/>
          <w:sz w:val="22"/>
          <w:szCs w:val="22"/>
        </w:rPr>
        <w:t>i</w:t>
      </w:r>
      <w:r w:rsidRPr="009C72D6">
        <w:rPr>
          <w:rFonts w:ascii="Arial" w:hAnsi="Arial" w:cs="Arial"/>
          <w:sz w:val="22"/>
          <w:szCs w:val="22"/>
        </w:rPr>
        <w:t xml:space="preserve"> soukromého práva, která měla nabýt účinnosti dne 1. ledna 2014, a bylo zcela nezbytné tuto situaci neodkladně řešit. </w:t>
      </w:r>
      <w:r>
        <w:rPr>
          <w:rFonts w:ascii="Arial" w:hAnsi="Arial" w:cs="Arial"/>
          <w:sz w:val="22"/>
          <w:szCs w:val="22"/>
        </w:rPr>
        <w:br/>
      </w:r>
      <w:r w:rsidRPr="009C72D6">
        <w:rPr>
          <w:rFonts w:ascii="Arial" w:hAnsi="Arial" w:cs="Arial"/>
          <w:bCs/>
          <w:sz w:val="22"/>
          <w:szCs w:val="22"/>
        </w:rPr>
        <w:t>K 1. lednu 2014 bylo nezbytné přizpůsobit stávající daň z převodu nemovitostí (stejně jako v případě ostatních daní) rekodifikaci soukromého práva tak, aby bylo zabráněno vzniku řady mezer a neprovázaností, které by způsobily</w:t>
      </w:r>
      <w:r w:rsidRPr="009C72D6">
        <w:rPr>
          <w:rFonts w:ascii="Arial" w:hAnsi="Arial" w:cs="Arial"/>
          <w:sz w:val="22"/>
          <w:szCs w:val="22"/>
        </w:rPr>
        <w:t xml:space="preserve"> </w:t>
      </w:r>
      <w:proofErr w:type="spellStart"/>
      <w:r w:rsidRPr="009C72D6">
        <w:rPr>
          <w:rFonts w:ascii="Arial" w:hAnsi="Arial" w:cs="Arial"/>
          <w:sz w:val="22"/>
          <w:szCs w:val="22"/>
        </w:rPr>
        <w:t>nespravovatelnost</w:t>
      </w:r>
      <w:proofErr w:type="spellEnd"/>
      <w:r w:rsidRPr="009C72D6">
        <w:rPr>
          <w:rFonts w:ascii="Arial" w:hAnsi="Arial" w:cs="Arial"/>
          <w:sz w:val="22"/>
          <w:szCs w:val="22"/>
        </w:rPr>
        <w:t xml:space="preserve"> této daně, právní nejistotu dotčených subjektů a v konečném důsledku výpadek na příjmové straně státního rozpočtu v řádu miliard Kč. Vzhledem k tomu, že Poslanecká sněmovna ČR byla rozpuštěna, náležela v tom případě omezená zákonodárná funkce Senátu ČR, který mohl přijímat </w:t>
      </w:r>
      <w:r w:rsidRPr="009C72D6">
        <w:rPr>
          <w:rStyle w:val="Siln"/>
          <w:rFonts w:ascii="Arial" w:hAnsi="Arial" w:cs="Arial"/>
          <w:b w:val="0"/>
          <w:sz w:val="22"/>
          <w:szCs w:val="22"/>
        </w:rPr>
        <w:t>zákonná opatření</w:t>
      </w:r>
      <w:r w:rsidRPr="009C72D6">
        <w:rPr>
          <w:rFonts w:ascii="Arial" w:hAnsi="Arial" w:cs="Arial"/>
          <w:b/>
          <w:sz w:val="22"/>
          <w:szCs w:val="22"/>
        </w:rPr>
        <w:t xml:space="preserve"> </w:t>
      </w:r>
      <w:r w:rsidRPr="009C72D6">
        <w:rPr>
          <w:rStyle w:val="Siln"/>
          <w:rFonts w:ascii="Arial" w:hAnsi="Arial" w:cs="Arial"/>
          <w:b w:val="0"/>
          <w:sz w:val="22"/>
          <w:szCs w:val="22"/>
        </w:rPr>
        <w:t>Senátu</w:t>
      </w:r>
      <w:r w:rsidRPr="009C72D6">
        <w:rPr>
          <w:rFonts w:ascii="Arial" w:hAnsi="Arial" w:cs="Arial"/>
          <w:sz w:val="22"/>
          <w:szCs w:val="22"/>
        </w:rPr>
        <w:t xml:space="preserve"> ve věcech, které nesnesou odkladu a vyžadovaly by jinak přijetí zákona. Taková situace v případě daňových zákonů v souvislosti s nabytím účinnosti rekodifikace soukromého práva nastala.</w:t>
      </w:r>
      <w:r w:rsidRPr="009C72D6">
        <w:rPr>
          <w:rFonts w:ascii="Arial" w:hAnsi="Arial" w:cs="Arial"/>
          <w:bCs/>
          <w:sz w:val="22"/>
          <w:szCs w:val="22"/>
        </w:rPr>
        <w:t xml:space="preserve"> Neodkladnost přijetí navrhované právní úpravy plynula zejména z potřeby zabránit negativním hospodářským následkům a ohrožení hodnot, které </w:t>
      </w:r>
      <w:r>
        <w:rPr>
          <w:rFonts w:ascii="Arial" w:hAnsi="Arial" w:cs="Arial"/>
          <w:bCs/>
          <w:sz w:val="22"/>
          <w:szCs w:val="22"/>
        </w:rPr>
        <w:t xml:space="preserve">bylo </w:t>
      </w:r>
      <w:r w:rsidRPr="009C72D6">
        <w:rPr>
          <w:rFonts w:ascii="Arial" w:hAnsi="Arial" w:cs="Arial"/>
          <w:bCs/>
          <w:sz w:val="22"/>
          <w:szCs w:val="22"/>
        </w:rPr>
        <w:t>třeba chránit, a to s ohledem na právní jistotu a předvídatelnost práva</w:t>
      </w:r>
      <w:r>
        <w:rPr>
          <w:rFonts w:ascii="Arial" w:hAnsi="Arial" w:cs="Arial"/>
          <w:bCs/>
          <w:sz w:val="22"/>
          <w:szCs w:val="22"/>
        </w:rPr>
        <w:t>,</w:t>
      </w:r>
      <w:r w:rsidRPr="009C72D6">
        <w:rPr>
          <w:rFonts w:ascii="Arial" w:hAnsi="Arial" w:cs="Arial"/>
          <w:bCs/>
          <w:sz w:val="22"/>
          <w:szCs w:val="22"/>
        </w:rPr>
        <w:t xml:space="preserve"> co nejdříve. </w:t>
      </w:r>
      <w:r w:rsidRPr="009C72D6">
        <w:rPr>
          <w:rFonts w:ascii="Arial" w:hAnsi="Arial" w:cs="Arial"/>
          <w:sz w:val="22"/>
          <w:szCs w:val="22"/>
        </w:rPr>
        <w:t>Návrh nové právní úpravy byl proto předložen ve formě zákonného opatření Senátu.</w:t>
      </w:r>
    </w:p>
    <w:p w:rsidR="002C3CFA" w:rsidRPr="009C72D6" w:rsidRDefault="002C3CFA" w:rsidP="0064562E">
      <w:pPr>
        <w:autoSpaceDE w:val="0"/>
        <w:autoSpaceDN w:val="0"/>
        <w:adjustRightInd w:val="0"/>
        <w:jc w:val="both"/>
        <w:rPr>
          <w:rFonts w:ascii="Arial" w:hAnsi="Arial" w:cs="Arial"/>
          <w:sz w:val="22"/>
          <w:szCs w:val="22"/>
        </w:rPr>
      </w:pPr>
    </w:p>
    <w:p w:rsidR="002C3CFA" w:rsidRPr="009C72D6" w:rsidRDefault="002C3CFA" w:rsidP="0064562E">
      <w:pPr>
        <w:autoSpaceDE w:val="0"/>
        <w:autoSpaceDN w:val="0"/>
        <w:adjustRightInd w:val="0"/>
        <w:jc w:val="both"/>
        <w:rPr>
          <w:rFonts w:ascii="Arial" w:hAnsi="Arial" w:cs="Arial"/>
          <w:sz w:val="22"/>
          <w:szCs w:val="22"/>
        </w:rPr>
      </w:pPr>
      <w:r w:rsidRPr="009C72D6">
        <w:rPr>
          <w:rFonts w:ascii="Arial" w:hAnsi="Arial" w:cs="Arial"/>
          <w:bCs/>
          <w:sz w:val="22"/>
          <w:szCs w:val="22"/>
        </w:rPr>
        <w:t>Návrh zákonného opatření Senátu o dani z nabytí nemovitých věcí vycházel z návrhu zákona stejného názvu, který byl dne 12. září 2013 zamítnut Senátem. Ambicí Ministerstva financí nebylo s ohledem na omezený časový prostor, který byl na přípravu návrhu dán (1</w:t>
      </w:r>
      <w:r w:rsidR="00016116">
        <w:rPr>
          <w:rFonts w:ascii="Arial" w:hAnsi="Arial" w:cs="Arial"/>
          <w:bCs/>
          <w:sz w:val="22"/>
          <w:szCs w:val="22"/>
        </w:rPr>
        <w:t> </w:t>
      </w:r>
      <w:r w:rsidRPr="009C72D6">
        <w:rPr>
          <w:rFonts w:ascii="Arial" w:hAnsi="Arial" w:cs="Arial"/>
          <w:bCs/>
          <w:sz w:val="22"/>
          <w:szCs w:val="22"/>
        </w:rPr>
        <w:t>týden), jej obsahově měnit. Byla zvolena koncepce maximální zdrženlivosti ohledně zásahů do textu schváleného Poslaneckou sněmovnou ČR včetně přijatých pozměňovacích návrhů. Výjimku tvořila úprava poplatníka daně, která reagovala</w:t>
      </w:r>
      <w:r w:rsidRPr="009C72D6">
        <w:rPr>
          <w:rFonts w:ascii="Arial" w:hAnsi="Arial" w:cs="Arial"/>
          <w:sz w:val="22"/>
          <w:szCs w:val="22"/>
        </w:rPr>
        <w:t xml:space="preserve"> na připomínky, které zazněly při projednávání původního návrhu zákona Senátem ČR.</w:t>
      </w:r>
    </w:p>
    <w:p w:rsidR="002C3CFA" w:rsidRDefault="002C3CFA" w:rsidP="0064562E">
      <w:pPr>
        <w:autoSpaceDE w:val="0"/>
        <w:autoSpaceDN w:val="0"/>
        <w:adjustRightInd w:val="0"/>
        <w:jc w:val="both"/>
        <w:rPr>
          <w:rFonts w:ascii="Arial" w:hAnsi="Arial" w:cs="Arial"/>
          <w:sz w:val="22"/>
          <w:szCs w:val="22"/>
          <w:highlight w:val="yellow"/>
        </w:rPr>
      </w:pPr>
    </w:p>
    <w:p w:rsidR="002C3CFA" w:rsidRPr="001F6809" w:rsidRDefault="002C3CFA" w:rsidP="0064562E">
      <w:pPr>
        <w:autoSpaceDE w:val="0"/>
        <w:autoSpaceDN w:val="0"/>
        <w:adjustRightInd w:val="0"/>
        <w:jc w:val="both"/>
        <w:rPr>
          <w:rFonts w:ascii="Arial" w:hAnsi="Arial" w:cs="Arial"/>
          <w:sz w:val="22"/>
          <w:szCs w:val="22"/>
        </w:rPr>
      </w:pPr>
      <w:r w:rsidRPr="0029666F">
        <w:rPr>
          <w:rFonts w:ascii="Arial" w:hAnsi="Arial" w:cs="Arial"/>
          <w:sz w:val="22"/>
          <w:szCs w:val="22"/>
        </w:rPr>
        <w:t>Složitá tehdejší politická situace, mimořádnost a značná právní nejistota schválení nezbytné nové právní úpravy</w:t>
      </w:r>
      <w:r w:rsidRPr="001F6809">
        <w:rPr>
          <w:rFonts w:ascii="Arial" w:hAnsi="Arial" w:cs="Arial"/>
          <w:sz w:val="22"/>
          <w:szCs w:val="22"/>
        </w:rPr>
        <w:t xml:space="preserve"> byl</w:t>
      </w:r>
      <w:r>
        <w:rPr>
          <w:rFonts w:ascii="Arial" w:hAnsi="Arial" w:cs="Arial"/>
          <w:sz w:val="22"/>
          <w:szCs w:val="22"/>
        </w:rPr>
        <w:t>y</w:t>
      </w:r>
      <w:r w:rsidRPr="001F6809">
        <w:rPr>
          <w:rFonts w:ascii="Arial" w:hAnsi="Arial" w:cs="Arial"/>
          <w:sz w:val="22"/>
          <w:szCs w:val="22"/>
        </w:rPr>
        <w:t xml:space="preserve"> důvodem pro zpoždění při vytváření technické podpory správy této daně, takže úloha v IS ADIS byla správcům daně k dispozici až v polovině roku 2014. Protože bez technické podpory nemohli správci daně vést daňová řízení, tyto skutečnosti, které nemohla Finanční správa ČR nijak ovlivnit, byly důvodem pro skluz při vyměřování daně z nabytí nemovitých věcí a tedy vysoký podíl nevyměřených podaných DAP. Proto je v prvním roce zavedení nové daně velmi obtížné vyhodnotit optimální délku vyměřovacího řízení a lze předpokládat, že údaje jsou zkreslené.   </w:t>
      </w:r>
    </w:p>
    <w:p w:rsidR="002C3CFA" w:rsidRPr="001F6809" w:rsidRDefault="002C3CFA" w:rsidP="00DE71CF">
      <w:pPr>
        <w:autoSpaceDE w:val="0"/>
        <w:autoSpaceDN w:val="0"/>
        <w:adjustRightInd w:val="0"/>
        <w:jc w:val="both"/>
        <w:rPr>
          <w:rFonts w:ascii="Arial" w:hAnsi="Arial" w:cs="Arial"/>
          <w:sz w:val="22"/>
          <w:szCs w:val="22"/>
        </w:rPr>
      </w:pPr>
      <w:r w:rsidRPr="001F6809">
        <w:rPr>
          <w:rFonts w:ascii="Arial" w:hAnsi="Arial" w:cs="Arial"/>
          <w:sz w:val="22"/>
          <w:szCs w:val="22"/>
        </w:rPr>
        <w:t xml:space="preserve">K závěru NKÚ o malém využití směrné hodnoty poplatníky daně je nutno konstatovat, že nelze činit závěry o efektivnosti takovéto zásadní změny po necelém roce její existence. </w:t>
      </w:r>
      <w:r>
        <w:rPr>
          <w:rFonts w:ascii="Arial" w:hAnsi="Arial" w:cs="Arial"/>
          <w:sz w:val="22"/>
          <w:szCs w:val="22"/>
        </w:rPr>
        <w:t xml:space="preserve">Je třeba zdůraznit, že směrnou hodnotu nelze použít u všech nemovitých věcí, jejichž úplatné nabytí podléhá zdanění touto daní, nýbrž lze ji použít pouze u vyjmenovaných nemovitých věcí, které zákonné opatření výslovně uvádí. </w:t>
      </w:r>
      <w:r w:rsidRPr="001F6809">
        <w:rPr>
          <w:rFonts w:ascii="Arial" w:hAnsi="Arial" w:cs="Arial"/>
          <w:sz w:val="22"/>
          <w:szCs w:val="22"/>
        </w:rPr>
        <w:t xml:space="preserve">Na </w:t>
      </w:r>
      <w:r w:rsidRPr="004C3CF2">
        <w:rPr>
          <w:rFonts w:ascii="Arial" w:hAnsi="Arial" w:cs="Arial"/>
          <w:sz w:val="22"/>
          <w:szCs w:val="22"/>
        </w:rPr>
        <w:t>nov</w:t>
      </w:r>
      <w:r w:rsidRPr="0029666F">
        <w:rPr>
          <w:rFonts w:ascii="Arial" w:hAnsi="Arial" w:cs="Arial"/>
          <w:sz w:val="22"/>
          <w:szCs w:val="22"/>
        </w:rPr>
        <w:t>ou</w:t>
      </w:r>
      <w:r w:rsidRPr="004175F3">
        <w:rPr>
          <w:rFonts w:ascii="Arial" w:hAnsi="Arial" w:cs="Arial"/>
          <w:sz w:val="22"/>
          <w:szCs w:val="22"/>
        </w:rPr>
        <w:t xml:space="preserve"> </w:t>
      </w:r>
      <w:r>
        <w:rPr>
          <w:rFonts w:ascii="Arial" w:hAnsi="Arial" w:cs="Arial"/>
          <w:sz w:val="22"/>
          <w:szCs w:val="22"/>
        </w:rPr>
        <w:t xml:space="preserve">možnost použití směrné hodnoty pro účely určení nabývací hodnoty, jakožto základu daně z nabytí nemovitých věcí, </w:t>
      </w:r>
      <w:r w:rsidRPr="001F6809">
        <w:rPr>
          <w:rFonts w:ascii="Arial" w:hAnsi="Arial" w:cs="Arial"/>
          <w:sz w:val="22"/>
          <w:szCs w:val="22"/>
        </w:rPr>
        <w:t>si musí zvyknout především poplatníci</w:t>
      </w:r>
      <w:r>
        <w:rPr>
          <w:rFonts w:ascii="Arial" w:hAnsi="Arial" w:cs="Arial"/>
          <w:sz w:val="22"/>
          <w:szCs w:val="22"/>
        </w:rPr>
        <w:t>, kterým možnost použití směrné hodnoty přináší zejména zjednodušení související se snížením počtu případů povinně předkládaných znaleckých posudků</w:t>
      </w:r>
      <w:r w:rsidRPr="001F6809">
        <w:rPr>
          <w:rFonts w:ascii="Arial" w:hAnsi="Arial" w:cs="Arial"/>
          <w:sz w:val="22"/>
          <w:szCs w:val="22"/>
        </w:rPr>
        <w:t>; pro zjednodušení práce správců je prováděn sběr informací o nemovitých věcech, databáze bude v budoucnu sloužit pro kontroly podaných DAP.</w:t>
      </w:r>
    </w:p>
    <w:p w:rsidR="002C3CFA" w:rsidRPr="001F6809" w:rsidRDefault="002C3CFA" w:rsidP="00DE71CF">
      <w:pPr>
        <w:autoSpaceDE w:val="0"/>
        <w:autoSpaceDN w:val="0"/>
        <w:adjustRightInd w:val="0"/>
        <w:jc w:val="both"/>
        <w:rPr>
          <w:rFonts w:ascii="Arial" w:hAnsi="Arial" w:cs="Arial"/>
          <w:sz w:val="22"/>
          <w:szCs w:val="22"/>
        </w:rPr>
      </w:pPr>
      <w:r w:rsidRPr="001F6809">
        <w:rPr>
          <w:rFonts w:ascii="Arial" w:hAnsi="Arial" w:cs="Arial"/>
          <w:sz w:val="22"/>
          <w:szCs w:val="22"/>
        </w:rPr>
        <w:t xml:space="preserve">Uvedené procento využití směrné hodnoty pro určení srovnávací daňové hodnoty je vztaženo k celkovému počtu podaných daňových přiznání, který ovšem zahrnuje i případy, kde je nabývací hodnotou zvláštní cena, výlučně cena zjištěná nebo výlučně cena sjednaná. </w:t>
      </w:r>
    </w:p>
    <w:p w:rsidR="002C3CFA" w:rsidRPr="001F6809" w:rsidRDefault="002C3CFA" w:rsidP="00DE71CF">
      <w:pPr>
        <w:autoSpaceDE w:val="0"/>
        <w:autoSpaceDN w:val="0"/>
        <w:adjustRightInd w:val="0"/>
        <w:jc w:val="both"/>
        <w:rPr>
          <w:rFonts w:ascii="Arial" w:hAnsi="Arial" w:cs="Arial"/>
          <w:sz w:val="22"/>
          <w:szCs w:val="22"/>
        </w:rPr>
      </w:pPr>
      <w:r w:rsidRPr="001F6809">
        <w:rPr>
          <w:rFonts w:ascii="Arial" w:hAnsi="Arial" w:cs="Arial"/>
          <w:sz w:val="22"/>
          <w:szCs w:val="22"/>
        </w:rPr>
        <w:t xml:space="preserve">K nárůstu počtu systemizovaných míst uvádíme, že nárůst počtu systemizovaných míst mezi roky 2013 až 2014 je jednoznačně způsoben zcela zásadními změnami organizační struktury </w:t>
      </w:r>
      <w:r w:rsidRPr="001F6809">
        <w:rPr>
          <w:rFonts w:ascii="Arial" w:hAnsi="Arial" w:cs="Arial"/>
          <w:sz w:val="22"/>
          <w:szCs w:val="22"/>
        </w:rPr>
        <w:lastRenderedPageBreak/>
        <w:t>celé Finanční správy k 1. 1. 2013, k 1. 9. 2014 a k 1. 11. 2014. Při těchto změnách organizační struktury docházelo k plošnému rušení útvarů, vzniku nových útvarů a zejména k</w:t>
      </w:r>
      <w:r>
        <w:rPr>
          <w:rFonts w:ascii="Arial" w:hAnsi="Arial" w:cs="Arial"/>
          <w:sz w:val="22"/>
          <w:szCs w:val="22"/>
        </w:rPr>
        <w:t> </w:t>
      </w:r>
      <w:r w:rsidRPr="001F6809">
        <w:rPr>
          <w:rFonts w:ascii="Arial" w:hAnsi="Arial" w:cs="Arial"/>
          <w:sz w:val="22"/>
          <w:szCs w:val="22"/>
        </w:rPr>
        <w:t>přeskupování vykonávaných činností do jednotlivých nově vznikajících útvarů. Proto nelze porovnávat v těchto letech činnosti vykonávané jednotlivými útvary.</w:t>
      </w:r>
    </w:p>
    <w:p w:rsidR="002C3CFA" w:rsidRPr="001F6809" w:rsidRDefault="002C3CFA" w:rsidP="00DE71CF">
      <w:pPr>
        <w:autoSpaceDE w:val="0"/>
        <w:autoSpaceDN w:val="0"/>
        <w:adjustRightInd w:val="0"/>
        <w:jc w:val="both"/>
        <w:rPr>
          <w:rFonts w:ascii="Arial" w:hAnsi="Arial" w:cs="Arial"/>
          <w:sz w:val="22"/>
          <w:szCs w:val="22"/>
        </w:rPr>
      </w:pPr>
      <w:r w:rsidRPr="001F6809">
        <w:rPr>
          <w:rFonts w:ascii="Arial" w:hAnsi="Arial" w:cs="Arial"/>
          <w:sz w:val="22"/>
          <w:szCs w:val="22"/>
        </w:rPr>
        <w:t>Je nutné upozornit, že i podle Organizačního řádu</w:t>
      </w:r>
      <w:r>
        <w:rPr>
          <w:rFonts w:ascii="Arial" w:hAnsi="Arial" w:cs="Arial"/>
          <w:sz w:val="22"/>
          <w:szCs w:val="22"/>
        </w:rPr>
        <w:t xml:space="preserve"> Finanční správy České republiky</w:t>
      </w:r>
      <w:r w:rsidRPr="001F6809">
        <w:rPr>
          <w:rFonts w:ascii="Arial" w:hAnsi="Arial" w:cs="Arial"/>
          <w:sz w:val="22"/>
          <w:szCs w:val="22"/>
        </w:rPr>
        <w:t xml:space="preserve"> (dále jen "OŘ</w:t>
      </w:r>
      <w:r>
        <w:rPr>
          <w:rFonts w:ascii="Arial" w:hAnsi="Arial" w:cs="Arial"/>
          <w:sz w:val="22"/>
          <w:szCs w:val="22"/>
        </w:rPr>
        <w:t xml:space="preserve"> FS ČR</w:t>
      </w:r>
      <w:r w:rsidRPr="001F6809">
        <w:rPr>
          <w:rFonts w:ascii="Arial" w:hAnsi="Arial" w:cs="Arial"/>
          <w:sz w:val="22"/>
          <w:szCs w:val="22"/>
        </w:rPr>
        <w:t>") platného v příslušných letech, nelze určit úplně přesné počty systemizovaných míst zabývající se požadovanými činnostmi. V OŘ platném v roce 2012 je v hlavě 3, dílu 1, článku 54 konkrétně uvedeno: "15. Ředitel finančního úřadu činnosti neuvedené v</w:t>
      </w:r>
      <w:r>
        <w:rPr>
          <w:rFonts w:ascii="Arial" w:hAnsi="Arial" w:cs="Arial"/>
          <w:sz w:val="22"/>
          <w:szCs w:val="22"/>
        </w:rPr>
        <w:t> </w:t>
      </w:r>
      <w:r w:rsidRPr="001F6809">
        <w:rPr>
          <w:rFonts w:ascii="Arial" w:hAnsi="Arial" w:cs="Arial"/>
          <w:sz w:val="22"/>
          <w:szCs w:val="22"/>
        </w:rPr>
        <w:t>rámcových náplních činnosti útvarů v čl. 56 až čl. 65 zařadí do útvaru, který má k dané problematice z věcného hlediska nejblíže." I z tohoto důvodu nelze brát počet systemizovaných míst v daném útvaru jako počet míst, na kterých zaměstnanci vykonávají sledované činnosti. V mnohých případech, zejména na menších územních pracovištích (dříve Finančních úřadech) je běžné zařazení systemizovaných míst s výkonem odlišné agendy v jednom společném útvaru.</w:t>
      </w:r>
    </w:p>
    <w:p w:rsidR="002C3CFA" w:rsidRPr="001F6809" w:rsidRDefault="007A4D23" w:rsidP="00DE71CF">
      <w:pPr>
        <w:autoSpaceDE w:val="0"/>
        <w:autoSpaceDN w:val="0"/>
        <w:adjustRightInd w:val="0"/>
        <w:jc w:val="both"/>
        <w:rPr>
          <w:rFonts w:ascii="Arial" w:hAnsi="Arial" w:cs="Arial"/>
          <w:sz w:val="22"/>
          <w:szCs w:val="22"/>
        </w:rPr>
      </w:pPr>
      <w:r>
        <w:rPr>
          <w:rFonts w:ascii="Arial" w:hAnsi="Arial" w:cs="Arial"/>
          <w:sz w:val="22"/>
          <w:szCs w:val="22"/>
        </w:rPr>
        <w:t>Model</w:t>
      </w:r>
      <w:r w:rsidRPr="001F6809">
        <w:rPr>
          <w:rFonts w:ascii="Arial" w:hAnsi="Arial" w:cs="Arial"/>
          <w:sz w:val="22"/>
          <w:szCs w:val="22"/>
        </w:rPr>
        <w:t xml:space="preserve"> </w:t>
      </w:r>
      <w:r w:rsidR="002C3CFA" w:rsidRPr="001F6809">
        <w:rPr>
          <w:rFonts w:ascii="Arial" w:hAnsi="Arial" w:cs="Arial"/>
          <w:sz w:val="22"/>
          <w:szCs w:val="22"/>
        </w:rPr>
        <w:t>systemizace neumožňuje určit počet systemizovaných míst s ohledem na vykonávané činnosti. Systemizace bere útvar a jeho systemizovaná místa jako celek, lze tedy stanovit pouze celkové počty míst v útvaru. Požadované počty systemizovaných míst byly nalezeny pouze podle názvů oddělení.</w:t>
      </w:r>
    </w:p>
    <w:p w:rsidR="002C3CFA" w:rsidRDefault="002C3CFA" w:rsidP="0064562E">
      <w:pPr>
        <w:autoSpaceDE w:val="0"/>
        <w:autoSpaceDN w:val="0"/>
        <w:adjustRightInd w:val="0"/>
        <w:jc w:val="both"/>
        <w:rPr>
          <w:rFonts w:ascii="Arial" w:hAnsi="Arial" w:cs="Arial"/>
          <w:sz w:val="22"/>
          <w:szCs w:val="22"/>
        </w:rPr>
      </w:pPr>
    </w:p>
    <w:p w:rsidR="002C3CFA" w:rsidRPr="001F6809" w:rsidRDefault="002C3CFA" w:rsidP="0064562E">
      <w:pPr>
        <w:autoSpaceDE w:val="0"/>
        <w:autoSpaceDN w:val="0"/>
        <w:adjustRightInd w:val="0"/>
        <w:jc w:val="both"/>
        <w:rPr>
          <w:rFonts w:ascii="Arial" w:hAnsi="Arial" w:cs="Arial"/>
          <w:sz w:val="22"/>
          <w:szCs w:val="22"/>
        </w:rPr>
      </w:pPr>
      <w:r>
        <w:rPr>
          <w:rFonts w:ascii="Arial" w:hAnsi="Arial" w:cs="Arial"/>
          <w:sz w:val="22"/>
          <w:szCs w:val="22"/>
        </w:rPr>
        <w:t>MF souhlasí s doporučením NKÚ</w:t>
      </w:r>
      <w:r w:rsidRPr="001F6809">
        <w:rPr>
          <w:rFonts w:ascii="Arial" w:hAnsi="Arial" w:cs="Arial"/>
          <w:sz w:val="22"/>
          <w:szCs w:val="22"/>
        </w:rPr>
        <w:t xml:space="preserve">, aby délka </w:t>
      </w:r>
      <w:proofErr w:type="spellStart"/>
      <w:r w:rsidRPr="001F6809">
        <w:rPr>
          <w:rFonts w:ascii="Arial" w:hAnsi="Arial" w:cs="Arial"/>
          <w:sz w:val="22"/>
          <w:szCs w:val="22"/>
        </w:rPr>
        <w:t>legisvakanční</w:t>
      </w:r>
      <w:proofErr w:type="spellEnd"/>
      <w:r w:rsidRPr="001F6809">
        <w:rPr>
          <w:rFonts w:ascii="Arial" w:hAnsi="Arial" w:cs="Arial"/>
          <w:sz w:val="22"/>
          <w:szCs w:val="22"/>
        </w:rPr>
        <w:t xml:space="preserve"> doby byla úměrná rozsahu a</w:t>
      </w:r>
      <w:r>
        <w:rPr>
          <w:rFonts w:ascii="Arial" w:hAnsi="Arial" w:cs="Arial"/>
          <w:sz w:val="22"/>
          <w:szCs w:val="22"/>
        </w:rPr>
        <w:t> </w:t>
      </w:r>
      <w:r w:rsidRPr="001F6809">
        <w:rPr>
          <w:rFonts w:ascii="Arial" w:hAnsi="Arial" w:cs="Arial"/>
          <w:sz w:val="22"/>
          <w:szCs w:val="22"/>
        </w:rPr>
        <w:t>významu změn, které nový právní předpis nebo případná novelizace přináší.</w:t>
      </w:r>
      <w:r>
        <w:rPr>
          <w:rFonts w:ascii="Arial" w:hAnsi="Arial" w:cs="Arial"/>
          <w:sz w:val="22"/>
          <w:szCs w:val="22"/>
        </w:rPr>
        <w:t xml:space="preserve"> Daný případ zpoždění přijetí legislativní normy byl však mimo kompetenci MF a GFŘ.</w:t>
      </w:r>
    </w:p>
    <w:p w:rsidR="002C3CFA" w:rsidRPr="001F6809" w:rsidRDefault="002C3CFA" w:rsidP="001F6809">
      <w:pPr>
        <w:autoSpaceDE w:val="0"/>
        <w:autoSpaceDN w:val="0"/>
        <w:adjustRightInd w:val="0"/>
        <w:jc w:val="both"/>
        <w:rPr>
          <w:rFonts w:ascii="Arial" w:hAnsi="Arial" w:cs="Arial"/>
          <w:sz w:val="22"/>
          <w:szCs w:val="22"/>
        </w:rPr>
      </w:pPr>
      <w:r w:rsidRPr="001F6809">
        <w:rPr>
          <w:rFonts w:ascii="Arial" w:hAnsi="Arial" w:cs="Arial"/>
          <w:sz w:val="22"/>
          <w:szCs w:val="22"/>
        </w:rPr>
        <w:t xml:space="preserve">Konkrétní opatření </w:t>
      </w:r>
      <w:r>
        <w:rPr>
          <w:rFonts w:ascii="Arial" w:hAnsi="Arial" w:cs="Arial"/>
          <w:sz w:val="22"/>
          <w:szCs w:val="22"/>
        </w:rPr>
        <w:t xml:space="preserve">týkající se systemizace </w:t>
      </w:r>
      <w:r w:rsidRPr="001F6809">
        <w:rPr>
          <w:rFonts w:ascii="Arial" w:hAnsi="Arial" w:cs="Arial"/>
          <w:sz w:val="22"/>
          <w:szCs w:val="22"/>
        </w:rPr>
        <w:t>nelze přijmout. Systemizaci schvaluje vláda</w:t>
      </w:r>
      <w:r>
        <w:rPr>
          <w:rFonts w:ascii="Arial" w:hAnsi="Arial" w:cs="Arial"/>
          <w:sz w:val="22"/>
          <w:szCs w:val="22"/>
        </w:rPr>
        <w:t xml:space="preserve"> ČR</w:t>
      </w:r>
      <w:r w:rsidRPr="001F6809">
        <w:rPr>
          <w:rFonts w:ascii="Arial" w:hAnsi="Arial" w:cs="Arial"/>
          <w:sz w:val="22"/>
          <w:szCs w:val="22"/>
        </w:rPr>
        <w:t xml:space="preserve"> dle zákona č. 234/2014 Sb., o státní službě.</w:t>
      </w: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rPr>
          <w:rFonts w:ascii="Arial" w:hAnsi="Arial" w:cs="Arial"/>
          <w:b/>
          <w:bCs/>
          <w:sz w:val="22"/>
          <w:szCs w:val="22"/>
        </w:rPr>
      </w:pPr>
      <w:r w:rsidRPr="001F6809">
        <w:rPr>
          <w:rFonts w:ascii="Arial" w:hAnsi="Arial" w:cs="Arial"/>
          <w:b/>
          <w:bCs/>
          <w:sz w:val="22"/>
          <w:szCs w:val="22"/>
        </w:rPr>
        <w:t>Kontrolní mechanismy</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„Obsahem dat přebíraných GFŘ z katastru nemovitostí jsou i informace o účastnících řízení a listinách, na jejichž základě došlo ke změně vlastnického práva.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Údaje o řízení se na FÚ automatizovaně provážou s daňovým spisem poplatníka daně z</w:t>
      </w:r>
      <w:r>
        <w:rPr>
          <w:rFonts w:ascii="Arial" w:hAnsi="Arial" w:cs="Arial"/>
          <w:i/>
          <w:sz w:val="22"/>
          <w:szCs w:val="22"/>
        </w:rPr>
        <w:t> </w:t>
      </w:r>
      <w:r w:rsidRPr="001F6809">
        <w:rPr>
          <w:rFonts w:ascii="Arial" w:hAnsi="Arial" w:cs="Arial"/>
          <w:i/>
          <w:sz w:val="22"/>
          <w:szCs w:val="22"/>
        </w:rPr>
        <w:t xml:space="preserve">nabytí nemovitých věcí. Mezi neprovázanými řízeními správce daně ověřuje, zda mezi nimi nejsou řízení zakládající daňovou povinnost.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NKÚ zjistil, že za roky 2012–2014 obdržely kontrolované FÚ z katastru nemovitostí informace o celkem 480 891 řízeních. Do konce října 2015 nebylo provázáno se spisem pouze 512 řízení.</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U čtyř kontrolovaných FÚ na kontrolním vzorku 132 neprovázaných řízení z období 2012–2014 NKÚ zjistil, že správci daně neprovázaná řízení prověřovali, např. v 58 případech vydali výzvy k podání daňových přiznání nebo výzvy k součinnosti katastru nemovitostí, příp. zjistili, že 26 řízení z kontrolního vzorku nezakládalo daňovou povinnost.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U dvou kontrolovaných FÚ (FÚ pro Moravskoslezský kraj a FÚ pro Jihomoravský kraj), které si nastavily interně pravidla pro minimalizaci počtu neprovázaných řízení, nezjistil NKÚ žádná neprovázaná řízení.</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V letech 2012–2014 vyměřili správci daně celkem 956 178 daňových přiznání a cca u 1 % podaných daňových přiznání vydali výzvy k odstranění pochybností. Ve stejném období provedli celkem 19 daňových kontrol a 4 884 místních šetření, při kterých ověřovali stav nemovitostí a získávali podklady pro ocenění nemovitostí apod.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NKÚ na kontrolním vzorku 129 místních šetření zjistil, že na jejich základě správci daně doměřili daň minimálně ve výši 897 953 Kč.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Kontrolní mechanismus spočívající v porovnání údajů v daňových přiznáních a dat z katastru nemovitostí měl nesporně kladný vliv na činnosti správců daně.“</w:t>
      </w:r>
    </w:p>
    <w:p w:rsidR="002C3CFA" w:rsidRPr="001F6809" w:rsidRDefault="002C3CFA" w:rsidP="001F6809">
      <w:pPr>
        <w:jc w:val="both"/>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jc w:val="both"/>
        <w:rPr>
          <w:rFonts w:ascii="Arial" w:hAnsi="Arial" w:cs="Arial"/>
          <w:sz w:val="22"/>
          <w:szCs w:val="22"/>
        </w:rPr>
      </w:pPr>
      <w:r w:rsidRPr="001F6809">
        <w:rPr>
          <w:rFonts w:ascii="Arial" w:hAnsi="Arial" w:cs="Arial"/>
          <w:sz w:val="22"/>
          <w:szCs w:val="22"/>
        </w:rPr>
        <w:t>Stávající kontrolní mechani</w:t>
      </w:r>
      <w:r>
        <w:rPr>
          <w:rFonts w:ascii="Arial" w:hAnsi="Arial" w:cs="Arial"/>
          <w:sz w:val="22"/>
          <w:szCs w:val="22"/>
        </w:rPr>
        <w:t>s</w:t>
      </w:r>
      <w:r w:rsidRPr="001F6809">
        <w:rPr>
          <w:rFonts w:ascii="Arial" w:hAnsi="Arial" w:cs="Arial"/>
          <w:sz w:val="22"/>
          <w:szCs w:val="22"/>
        </w:rPr>
        <w:t>my na dani z nabytí nemovitých věcí (dani z převodu nemovitostí) jsou plně vyhovující a na vysoké úrovni. Bereme na vědomí konstatování NKÚ, že stávající kontrolní mechanismus je efektivní a dostatečný.</w:t>
      </w:r>
    </w:p>
    <w:p w:rsidR="002C3CFA"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rPr>
          <w:rFonts w:ascii="Arial" w:hAnsi="Arial" w:cs="Arial"/>
          <w:b/>
          <w:bCs/>
          <w:sz w:val="22"/>
          <w:szCs w:val="22"/>
        </w:rPr>
      </w:pPr>
      <w:r w:rsidRPr="001F6809">
        <w:rPr>
          <w:rFonts w:ascii="Arial" w:hAnsi="Arial" w:cs="Arial"/>
          <w:b/>
          <w:bCs/>
          <w:sz w:val="22"/>
          <w:szCs w:val="22"/>
        </w:rPr>
        <w:t>Nedoplatky</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„Nedoplatky na dani z převodu nemovitostí a na dani z nabytí nemovitých věcí činily k 31. 12. 2014 celkem 2 352 mil. Kč. Vymáhání nedoplatků od ručitelů komplikuje skutečnost, že</w:t>
      </w:r>
      <w:r w:rsidR="00016116">
        <w:rPr>
          <w:rFonts w:ascii="Arial" w:hAnsi="Arial" w:cs="Arial"/>
          <w:i/>
          <w:sz w:val="22"/>
          <w:szCs w:val="22"/>
        </w:rPr>
        <w:t> </w:t>
      </w:r>
      <w:r w:rsidRPr="001F6809">
        <w:rPr>
          <w:rFonts w:ascii="Arial" w:hAnsi="Arial" w:cs="Arial"/>
          <w:i/>
          <w:sz w:val="22"/>
          <w:szCs w:val="22"/>
        </w:rPr>
        <w:t xml:space="preserve">výzvu k úhradě nedoplatku ručitelem je možné vydat až po marném vymáhání nedoplatku na dlužníkovi. Teprve poté má správce daně možnost zřídit zástavní právo k nemovitosti nabyté ručitelem.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V letech 2012–2014 vydali správci daně celkem 5 415 výzev ručiteli k úhradě nedoplatku na dani na celkovou částku 255 mil. Kč. Ručitelé uhradili nebo od nich bylo vymoženo 93 mil. Kč. </w:t>
      </w:r>
    </w:p>
    <w:p w:rsidR="002C3CFA" w:rsidRPr="001F6809" w:rsidRDefault="002C3CFA" w:rsidP="001F6809">
      <w:pPr>
        <w:autoSpaceDE w:val="0"/>
        <w:autoSpaceDN w:val="0"/>
        <w:adjustRightInd w:val="0"/>
        <w:jc w:val="both"/>
        <w:outlineLvl w:val="0"/>
        <w:rPr>
          <w:rFonts w:ascii="Arial" w:hAnsi="Arial" w:cs="Arial"/>
          <w:i/>
          <w:sz w:val="22"/>
          <w:szCs w:val="22"/>
        </w:rPr>
      </w:pPr>
      <w:r w:rsidRPr="001F6809">
        <w:rPr>
          <w:rFonts w:ascii="Arial" w:hAnsi="Arial" w:cs="Arial"/>
          <w:i/>
          <w:sz w:val="22"/>
          <w:szCs w:val="22"/>
        </w:rPr>
        <w:t>Změna v osobě poplatníka by umožnila správci daně zajistit nedoplatek zástavním právem podstatně dříve. Bez ohledu na osobu poplatníka je však základním předpokladem úspěšného vymožení nedoplatku rychlý postup správce daně v průběhu vymáhacího procesu. V současné době projednává Parlament ČR novelu zákonného opatření Senátu č.</w:t>
      </w:r>
      <w:r>
        <w:rPr>
          <w:rFonts w:ascii="Arial" w:hAnsi="Arial" w:cs="Arial"/>
          <w:i/>
          <w:sz w:val="22"/>
          <w:szCs w:val="22"/>
        </w:rPr>
        <w:t> </w:t>
      </w:r>
      <w:r w:rsidRPr="001F6809">
        <w:rPr>
          <w:rFonts w:ascii="Arial" w:hAnsi="Arial" w:cs="Arial"/>
          <w:i/>
          <w:sz w:val="22"/>
          <w:szCs w:val="22"/>
        </w:rPr>
        <w:t>340/2013 Sb., která by mimo jiné měla přinést změnu v osobě poplatníka a zrušit institut ručení.“</w:t>
      </w:r>
    </w:p>
    <w:p w:rsidR="002C3CFA" w:rsidRPr="001F6809" w:rsidRDefault="002C3CFA" w:rsidP="001F6809">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jc w:val="both"/>
        <w:rPr>
          <w:rFonts w:ascii="Arial" w:hAnsi="Arial" w:cs="Arial"/>
          <w:sz w:val="22"/>
          <w:szCs w:val="22"/>
        </w:rPr>
      </w:pPr>
      <w:r w:rsidRPr="001F6809">
        <w:rPr>
          <w:rFonts w:ascii="Arial" w:hAnsi="Arial" w:cs="Arial"/>
          <w:sz w:val="22"/>
          <w:szCs w:val="22"/>
        </w:rPr>
        <w:t>Nedoplatky na uvedených daních spadají ve většině případů do kategorie tzv. „běžných nedoplatků“, u které je stanovena nejzazší maximální lhůta pro předání do vymáhání do 3 měsíců od konce měsíce následujícího po měsíci, ve kterém nastala splatnost daně. Pro</w:t>
      </w:r>
      <w:r w:rsidR="00016116">
        <w:rPr>
          <w:rFonts w:ascii="Arial" w:hAnsi="Arial" w:cs="Arial"/>
          <w:sz w:val="22"/>
          <w:szCs w:val="22"/>
        </w:rPr>
        <w:t> </w:t>
      </w:r>
      <w:r w:rsidRPr="001F6809">
        <w:rPr>
          <w:rFonts w:ascii="Arial" w:hAnsi="Arial" w:cs="Arial"/>
          <w:sz w:val="22"/>
          <w:szCs w:val="22"/>
        </w:rPr>
        <w:t>zahájení vymáhání je stanovena maximální lhůta 3 měsíce. Zrychlení vymáhání těchto nedoplatků umožňuje dříve zahájit případné úkony vedoucí k zajištění a vymáhání nedoplatků u ručitelů v případech neúspěšné exekuce. Lhůty byly nastaveny aktualizací pokynu „Zásady efektivity vymáhací činnosti finančních úřadů“ z listopadu 2015. Daň z</w:t>
      </w:r>
      <w:r w:rsidR="00016116">
        <w:rPr>
          <w:rFonts w:ascii="Arial" w:hAnsi="Arial" w:cs="Arial"/>
          <w:sz w:val="22"/>
          <w:szCs w:val="22"/>
        </w:rPr>
        <w:t> </w:t>
      </w:r>
      <w:r w:rsidRPr="001F6809">
        <w:rPr>
          <w:rFonts w:ascii="Arial" w:hAnsi="Arial" w:cs="Arial"/>
          <w:sz w:val="22"/>
          <w:szCs w:val="22"/>
        </w:rPr>
        <w:t xml:space="preserve">převodu nemovitostí vykazuje setrvalý pokles, </w:t>
      </w:r>
      <w:r w:rsidR="007A4D23">
        <w:rPr>
          <w:rFonts w:ascii="Arial" w:hAnsi="Arial" w:cs="Arial"/>
          <w:sz w:val="22"/>
          <w:szCs w:val="22"/>
        </w:rPr>
        <w:t xml:space="preserve">který </w:t>
      </w:r>
      <w:r w:rsidRPr="001F6809">
        <w:rPr>
          <w:rFonts w:ascii="Arial" w:hAnsi="Arial" w:cs="Arial"/>
          <w:sz w:val="22"/>
          <w:szCs w:val="22"/>
        </w:rPr>
        <w:t xml:space="preserve">je </w:t>
      </w:r>
      <w:r w:rsidRPr="00454B76">
        <w:rPr>
          <w:rFonts w:ascii="Arial" w:hAnsi="Arial" w:cs="Arial"/>
          <w:sz w:val="22"/>
          <w:szCs w:val="22"/>
        </w:rPr>
        <w:t>vyvolaný zánikem této daně a jejím nahrazením daní z nabytí nemovitých věcí</w:t>
      </w:r>
      <w:r w:rsidRPr="004175F3">
        <w:rPr>
          <w:rFonts w:ascii="Arial" w:hAnsi="Arial" w:cs="Arial"/>
          <w:sz w:val="22"/>
          <w:szCs w:val="22"/>
        </w:rPr>
        <w:t>.</w:t>
      </w:r>
      <w:r w:rsidRPr="001F6809">
        <w:rPr>
          <w:rFonts w:ascii="Arial" w:hAnsi="Arial" w:cs="Arial"/>
          <w:sz w:val="22"/>
          <w:szCs w:val="22"/>
        </w:rPr>
        <w:t xml:space="preserve"> Z toho vyplývá, že nedoplatky daně z převodu nemovitostí jsou vymáhány a jejich objem se snižuje až na současných 1,782 mld. Kč. Do</w:t>
      </w:r>
      <w:r w:rsidR="00016116">
        <w:rPr>
          <w:rFonts w:ascii="Arial" w:hAnsi="Arial" w:cs="Arial"/>
          <w:sz w:val="22"/>
          <w:szCs w:val="22"/>
        </w:rPr>
        <w:t> </w:t>
      </w:r>
      <w:r w:rsidRPr="001F6809">
        <w:rPr>
          <w:rFonts w:ascii="Arial" w:hAnsi="Arial" w:cs="Arial"/>
          <w:sz w:val="22"/>
          <w:szCs w:val="22"/>
        </w:rPr>
        <w:t xml:space="preserve">budoucna by u </w:t>
      </w:r>
      <w:r w:rsidRPr="00454B76">
        <w:rPr>
          <w:rFonts w:ascii="Arial" w:hAnsi="Arial" w:cs="Arial"/>
          <w:sz w:val="22"/>
          <w:szCs w:val="22"/>
        </w:rPr>
        <w:t>nové</w:t>
      </w:r>
      <w:r w:rsidRPr="001F6809">
        <w:rPr>
          <w:rFonts w:ascii="Arial" w:hAnsi="Arial" w:cs="Arial"/>
          <w:sz w:val="22"/>
          <w:szCs w:val="22"/>
        </w:rPr>
        <w:t xml:space="preserve"> daně z nabytí nemovitosti měly nedoplatky rovněž klesat, </w:t>
      </w:r>
      <w:r>
        <w:rPr>
          <w:rFonts w:ascii="Arial" w:hAnsi="Arial" w:cs="Arial"/>
          <w:sz w:val="22"/>
          <w:szCs w:val="22"/>
        </w:rPr>
        <w:t>a to za předpokladu, bude-li přijat</w:t>
      </w:r>
      <w:r w:rsidRPr="00DC00EE">
        <w:rPr>
          <w:rFonts w:ascii="Arial" w:hAnsi="Arial" w:cs="Arial"/>
          <w:sz w:val="22"/>
          <w:szCs w:val="22"/>
        </w:rPr>
        <w:t xml:space="preserve"> </w:t>
      </w:r>
      <w:r>
        <w:rPr>
          <w:rFonts w:ascii="Arial" w:hAnsi="Arial" w:cs="Arial"/>
          <w:sz w:val="22"/>
          <w:szCs w:val="22"/>
        </w:rPr>
        <w:t xml:space="preserve">návrh nové </w:t>
      </w:r>
      <w:r w:rsidRPr="001F6809">
        <w:rPr>
          <w:rFonts w:ascii="Arial" w:hAnsi="Arial" w:cs="Arial"/>
          <w:sz w:val="22"/>
          <w:szCs w:val="22"/>
        </w:rPr>
        <w:t>úprav</w:t>
      </w:r>
      <w:r>
        <w:rPr>
          <w:rFonts w:ascii="Arial" w:hAnsi="Arial" w:cs="Arial"/>
          <w:sz w:val="22"/>
          <w:szCs w:val="22"/>
        </w:rPr>
        <w:t>y</w:t>
      </w:r>
      <w:r w:rsidRPr="001F6809">
        <w:rPr>
          <w:rFonts w:ascii="Arial" w:hAnsi="Arial" w:cs="Arial"/>
          <w:sz w:val="22"/>
          <w:szCs w:val="22"/>
        </w:rPr>
        <w:t>,</w:t>
      </w:r>
      <w:r>
        <w:rPr>
          <w:rFonts w:ascii="Arial" w:hAnsi="Arial" w:cs="Arial"/>
          <w:sz w:val="22"/>
          <w:szCs w:val="22"/>
        </w:rPr>
        <w:t xml:space="preserve"> dle které</w:t>
      </w:r>
      <w:r w:rsidRPr="001F6809">
        <w:rPr>
          <w:rFonts w:ascii="Arial" w:hAnsi="Arial" w:cs="Arial"/>
          <w:sz w:val="22"/>
          <w:szCs w:val="22"/>
        </w:rPr>
        <w:t xml:space="preserve"> </w:t>
      </w:r>
      <w:r>
        <w:rPr>
          <w:rFonts w:ascii="Arial" w:hAnsi="Arial" w:cs="Arial"/>
          <w:sz w:val="22"/>
          <w:szCs w:val="22"/>
        </w:rPr>
        <w:t xml:space="preserve">má být </w:t>
      </w:r>
      <w:r w:rsidRPr="001F6809">
        <w:rPr>
          <w:rFonts w:ascii="Arial" w:hAnsi="Arial" w:cs="Arial"/>
          <w:sz w:val="22"/>
          <w:szCs w:val="22"/>
        </w:rPr>
        <w:t>poplatníkem daně pouze nabyvatel</w:t>
      </w:r>
      <w:r>
        <w:rPr>
          <w:rFonts w:ascii="Arial" w:hAnsi="Arial" w:cs="Arial"/>
          <w:sz w:val="22"/>
          <w:szCs w:val="22"/>
        </w:rPr>
        <w:t>. Tento návrh je v současné době v legislativním procesu (tisk 639).</w:t>
      </w:r>
    </w:p>
    <w:p w:rsidR="002C3CFA" w:rsidRDefault="002C3CFA" w:rsidP="001F6809">
      <w:pPr>
        <w:autoSpaceDE w:val="0"/>
        <w:autoSpaceDN w:val="0"/>
        <w:adjustRightInd w:val="0"/>
        <w:jc w:val="both"/>
        <w:outlineLvl w:val="0"/>
        <w:rPr>
          <w:rFonts w:ascii="Arial" w:hAnsi="Arial" w:cs="Arial"/>
          <w:bCs/>
          <w:i/>
          <w:iCs/>
          <w:sz w:val="22"/>
          <w:szCs w:val="22"/>
        </w:rPr>
      </w:pPr>
    </w:p>
    <w:p w:rsidR="002C3CFA" w:rsidRPr="001F6809" w:rsidRDefault="002C3CFA" w:rsidP="001F6809">
      <w:pPr>
        <w:autoSpaceDE w:val="0"/>
        <w:autoSpaceDN w:val="0"/>
        <w:adjustRightInd w:val="0"/>
        <w:jc w:val="both"/>
        <w:outlineLvl w:val="0"/>
        <w:rPr>
          <w:rFonts w:ascii="Arial" w:hAnsi="Arial" w:cs="Arial"/>
          <w:bCs/>
          <w:i/>
          <w:iCs/>
          <w:sz w:val="22"/>
          <w:szCs w:val="22"/>
        </w:rPr>
      </w:pPr>
    </w:p>
    <w:p w:rsidR="002C3CFA" w:rsidRPr="005E6C4A" w:rsidRDefault="002C3CFA" w:rsidP="001F6809">
      <w:pPr>
        <w:autoSpaceDE w:val="0"/>
        <w:autoSpaceDN w:val="0"/>
        <w:adjustRightInd w:val="0"/>
        <w:jc w:val="both"/>
        <w:rPr>
          <w:rFonts w:ascii="Arial" w:hAnsi="Arial" w:cs="Arial"/>
          <w:b/>
          <w:bCs/>
          <w:sz w:val="22"/>
          <w:szCs w:val="22"/>
        </w:rPr>
      </w:pPr>
      <w:r w:rsidRPr="005E6C4A">
        <w:rPr>
          <w:rFonts w:ascii="Arial" w:hAnsi="Arial" w:cs="Arial"/>
          <w:b/>
          <w:bCs/>
          <w:sz w:val="22"/>
          <w:szCs w:val="22"/>
        </w:rPr>
        <w:t>3. Daň dědická a daň darovací</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 xml:space="preserve">„Výši daňové povinnosti a inkasa daně darovací ovlivnilo zdanění bezúplatného nabytí emisních povolenek v letech 2011 a 2012 sazbou 32 %. Nejvyšší správní soud v červenci 2015 na základě rozsudku Soudního dvora EU rozhodl, že dani darovací má být podrobeno pouze 10 % počtu emisních povolenek v odvětví. Na základě tohoto rozsudku provádí Odvolací finanční ředitelství propočty pro ostatní odvětví, podle kterých bude postupovat v odvolacích řízeních proti vyměření daně darovací z bezúplatně nabytých emisních povolenek. </w:t>
      </w:r>
    </w:p>
    <w:p w:rsidR="002C3CFA" w:rsidRPr="001F6809"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Od 1. 1. 2014 jsou veškeré příjmy fyzických a právnických osob z dědění nebo odkazu od daní z příjmů osvobozeny. Po splnění zákonných podmínek jsou u fyzických a právnických osob některé příjmy nabyté darováním osvobozeny od daně. Neosvobozené příjmy z</w:t>
      </w:r>
      <w:r>
        <w:rPr>
          <w:rFonts w:ascii="Arial" w:hAnsi="Arial" w:cs="Arial"/>
          <w:i/>
          <w:sz w:val="22"/>
          <w:szCs w:val="22"/>
        </w:rPr>
        <w:t> </w:t>
      </w:r>
      <w:r w:rsidRPr="001F6809">
        <w:rPr>
          <w:rFonts w:ascii="Arial" w:hAnsi="Arial" w:cs="Arial"/>
          <w:i/>
          <w:sz w:val="22"/>
          <w:szCs w:val="22"/>
        </w:rPr>
        <w:t>darování jsou v daňovém přiznání vykazovány jako součást příjmů podle zákona č.</w:t>
      </w:r>
      <w:r w:rsidR="00016116">
        <w:rPr>
          <w:rFonts w:ascii="Arial" w:hAnsi="Arial" w:cs="Arial"/>
          <w:i/>
          <w:sz w:val="22"/>
          <w:szCs w:val="22"/>
        </w:rPr>
        <w:t> </w:t>
      </w:r>
      <w:r w:rsidRPr="001F6809">
        <w:rPr>
          <w:rFonts w:ascii="Arial" w:hAnsi="Arial" w:cs="Arial"/>
          <w:i/>
          <w:sz w:val="22"/>
          <w:szCs w:val="22"/>
        </w:rPr>
        <w:t>586/1992 Sb. a jako tyto příjmy jsou zdaňovány. Bezúplatné příjmy nabyté darováním jsou u</w:t>
      </w:r>
      <w:r>
        <w:rPr>
          <w:rFonts w:ascii="Arial" w:hAnsi="Arial" w:cs="Arial"/>
          <w:i/>
          <w:sz w:val="22"/>
          <w:szCs w:val="22"/>
        </w:rPr>
        <w:t> </w:t>
      </w:r>
      <w:r w:rsidRPr="001F6809">
        <w:rPr>
          <w:rFonts w:ascii="Arial" w:hAnsi="Arial" w:cs="Arial"/>
          <w:i/>
          <w:sz w:val="22"/>
          <w:szCs w:val="22"/>
        </w:rPr>
        <w:t xml:space="preserve">právnických osob vykázány podle způsobu účtování ve výsledku hospodaření. </w:t>
      </w:r>
    </w:p>
    <w:p w:rsidR="002C3CFA" w:rsidRDefault="002C3CFA" w:rsidP="001F6809">
      <w:pPr>
        <w:autoSpaceDE w:val="0"/>
        <w:autoSpaceDN w:val="0"/>
        <w:adjustRightInd w:val="0"/>
        <w:jc w:val="both"/>
        <w:rPr>
          <w:rFonts w:ascii="Arial" w:hAnsi="Arial" w:cs="Arial"/>
          <w:i/>
          <w:sz w:val="22"/>
          <w:szCs w:val="22"/>
        </w:rPr>
      </w:pPr>
      <w:r w:rsidRPr="001F6809">
        <w:rPr>
          <w:rFonts w:ascii="Arial" w:hAnsi="Arial" w:cs="Arial"/>
          <w:i/>
          <w:sz w:val="22"/>
          <w:szCs w:val="22"/>
        </w:rPr>
        <w:t>Údaje o konkrétních příjmech z bezúplatného nabytí majetku nejsou od 1. 1. 2014 v ADIS evidovány samostatně, ale jsou součástí celkového základu daně z příjmů fyzických, resp. právnických osob.“</w:t>
      </w:r>
    </w:p>
    <w:p w:rsidR="00016116" w:rsidRPr="001F6809" w:rsidRDefault="00016116" w:rsidP="001F6809">
      <w:pPr>
        <w:autoSpaceDE w:val="0"/>
        <w:autoSpaceDN w:val="0"/>
        <w:adjustRightInd w:val="0"/>
        <w:jc w:val="both"/>
        <w:rPr>
          <w:rFonts w:ascii="Arial" w:hAnsi="Arial" w:cs="Arial"/>
          <w:i/>
          <w:sz w:val="22"/>
          <w:szCs w:val="22"/>
        </w:rPr>
      </w:pPr>
    </w:p>
    <w:p w:rsidR="002C3CFA" w:rsidRPr="001F6809" w:rsidRDefault="002C3CFA" w:rsidP="001F6809">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lastRenderedPageBreak/>
        <w:t>Stanovisko:</w:t>
      </w:r>
    </w:p>
    <w:p w:rsidR="002C3CFA" w:rsidRPr="001F6809" w:rsidRDefault="002C3CFA" w:rsidP="001F6809">
      <w:pPr>
        <w:jc w:val="both"/>
        <w:rPr>
          <w:rFonts w:ascii="Arial" w:hAnsi="Arial" w:cs="Arial"/>
          <w:sz w:val="22"/>
          <w:szCs w:val="22"/>
        </w:rPr>
      </w:pPr>
      <w:r w:rsidRPr="001F6809">
        <w:rPr>
          <w:rFonts w:ascii="Arial" w:hAnsi="Arial" w:cs="Arial"/>
          <w:sz w:val="22"/>
          <w:szCs w:val="22"/>
        </w:rPr>
        <w:t>Bereme na vědomí konstatování NKÚ o revizi vyměření daně darovací z bezúplatného nabytí emisních povolenek</w:t>
      </w:r>
    </w:p>
    <w:p w:rsidR="002C3CFA" w:rsidRPr="001F6809" w:rsidRDefault="002C3CFA" w:rsidP="001F6809">
      <w:pPr>
        <w:autoSpaceDE w:val="0"/>
        <w:autoSpaceDN w:val="0"/>
        <w:adjustRightInd w:val="0"/>
        <w:jc w:val="both"/>
        <w:outlineLvl w:val="0"/>
        <w:rPr>
          <w:rFonts w:ascii="Arial" w:hAnsi="Arial" w:cs="Arial"/>
          <w:bCs/>
          <w:i/>
          <w:iCs/>
          <w:sz w:val="22"/>
          <w:szCs w:val="22"/>
        </w:rPr>
      </w:pPr>
    </w:p>
    <w:p w:rsidR="002C3CFA" w:rsidRPr="001F6809" w:rsidRDefault="002C3CFA" w:rsidP="001F6809">
      <w:pPr>
        <w:autoSpaceDE w:val="0"/>
        <w:autoSpaceDN w:val="0"/>
        <w:adjustRightInd w:val="0"/>
        <w:jc w:val="both"/>
        <w:outlineLvl w:val="0"/>
        <w:rPr>
          <w:rFonts w:ascii="Arial" w:hAnsi="Arial" w:cs="Arial"/>
          <w:bCs/>
          <w:i/>
          <w:iCs/>
          <w:sz w:val="22"/>
          <w:szCs w:val="22"/>
        </w:rPr>
      </w:pPr>
    </w:p>
    <w:p w:rsidR="002C3CFA" w:rsidRPr="001F6809" w:rsidRDefault="002C3CFA" w:rsidP="001F6809">
      <w:pPr>
        <w:autoSpaceDE w:val="0"/>
        <w:autoSpaceDN w:val="0"/>
        <w:adjustRightInd w:val="0"/>
        <w:jc w:val="both"/>
        <w:rPr>
          <w:rFonts w:ascii="Arial" w:hAnsi="Arial" w:cs="Arial"/>
          <w:b/>
          <w:bCs/>
          <w:sz w:val="22"/>
          <w:szCs w:val="22"/>
        </w:rPr>
      </w:pPr>
      <w:r w:rsidRPr="001F6809">
        <w:rPr>
          <w:rFonts w:ascii="Arial" w:hAnsi="Arial" w:cs="Arial"/>
          <w:b/>
          <w:bCs/>
          <w:sz w:val="22"/>
          <w:szCs w:val="22"/>
        </w:rPr>
        <w:t>Nedoplatky</w:t>
      </w:r>
    </w:p>
    <w:p w:rsidR="002C3CFA" w:rsidRPr="001F6809" w:rsidRDefault="002C3CFA" w:rsidP="001F6809">
      <w:pPr>
        <w:autoSpaceDE w:val="0"/>
        <w:autoSpaceDN w:val="0"/>
        <w:adjustRightInd w:val="0"/>
        <w:jc w:val="both"/>
        <w:outlineLvl w:val="0"/>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outlineLvl w:val="0"/>
        <w:rPr>
          <w:rFonts w:ascii="Arial" w:hAnsi="Arial" w:cs="Arial"/>
          <w:i/>
          <w:sz w:val="22"/>
          <w:szCs w:val="22"/>
        </w:rPr>
      </w:pPr>
      <w:r w:rsidRPr="001F6809">
        <w:rPr>
          <w:rFonts w:ascii="Arial" w:hAnsi="Arial" w:cs="Arial"/>
          <w:i/>
          <w:sz w:val="22"/>
          <w:szCs w:val="22"/>
        </w:rPr>
        <w:t>„K 31. 12. 2014 činily nedoplatky na dani dědické a darovací téměř 126 mil. Kč.“</w:t>
      </w:r>
    </w:p>
    <w:p w:rsidR="002C3CFA" w:rsidRPr="001F6809" w:rsidRDefault="002C3CFA" w:rsidP="001F6809">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autoSpaceDE w:val="0"/>
        <w:autoSpaceDN w:val="0"/>
        <w:adjustRightInd w:val="0"/>
        <w:jc w:val="both"/>
        <w:outlineLvl w:val="0"/>
        <w:rPr>
          <w:rFonts w:ascii="Arial" w:hAnsi="Arial" w:cs="Arial"/>
          <w:bCs/>
          <w:iCs/>
          <w:sz w:val="22"/>
          <w:szCs w:val="22"/>
        </w:rPr>
      </w:pPr>
      <w:r w:rsidRPr="001F6809">
        <w:rPr>
          <w:rFonts w:ascii="Arial" w:hAnsi="Arial" w:cs="Arial"/>
          <w:bCs/>
          <w:iCs/>
          <w:sz w:val="22"/>
          <w:szCs w:val="22"/>
        </w:rPr>
        <w:t>Vzato na vědomí.</w:t>
      </w: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1F6809" w:rsidRDefault="002C3CFA" w:rsidP="001F6809">
      <w:pPr>
        <w:autoSpaceDE w:val="0"/>
        <w:autoSpaceDN w:val="0"/>
        <w:adjustRightInd w:val="0"/>
        <w:jc w:val="both"/>
        <w:outlineLvl w:val="0"/>
        <w:rPr>
          <w:rFonts w:ascii="Arial" w:hAnsi="Arial" w:cs="Arial"/>
          <w:bCs/>
          <w:iCs/>
          <w:sz w:val="22"/>
          <w:szCs w:val="22"/>
        </w:rPr>
      </w:pPr>
    </w:p>
    <w:p w:rsidR="002C3CFA" w:rsidRPr="005E6C4A" w:rsidRDefault="002C3CFA" w:rsidP="001F6809">
      <w:pPr>
        <w:autoSpaceDE w:val="0"/>
        <w:autoSpaceDN w:val="0"/>
        <w:adjustRightInd w:val="0"/>
        <w:jc w:val="both"/>
        <w:rPr>
          <w:rFonts w:ascii="Arial" w:hAnsi="Arial" w:cs="Arial"/>
          <w:b/>
          <w:bCs/>
          <w:sz w:val="22"/>
          <w:szCs w:val="22"/>
        </w:rPr>
      </w:pPr>
      <w:r w:rsidRPr="005E6C4A">
        <w:rPr>
          <w:rFonts w:ascii="Arial" w:hAnsi="Arial" w:cs="Arial"/>
          <w:b/>
          <w:bCs/>
          <w:sz w:val="22"/>
          <w:szCs w:val="22"/>
        </w:rPr>
        <w:t>4. Efektivnost a nákladovost správy příjmů z majetkových daní</w:t>
      </w:r>
    </w:p>
    <w:p w:rsidR="002C3CFA" w:rsidRPr="0064562E"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 xml:space="preserve">„Výkonnost finanční správy je možné sledovat z několika hledisek, jedním z nich je měření nákladovosti spojené s výběrem daní finanční správou. </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Výpočet efektivnosti a nákladovosti správy daní u FS ČR vychází z údajů uvedených v</w:t>
      </w:r>
      <w:r>
        <w:rPr>
          <w:rFonts w:ascii="Arial" w:hAnsi="Arial" w:cs="Arial"/>
          <w:i/>
          <w:sz w:val="22"/>
          <w:szCs w:val="22"/>
        </w:rPr>
        <w:t> </w:t>
      </w:r>
      <w:r w:rsidRPr="0064562E">
        <w:rPr>
          <w:rFonts w:ascii="Arial" w:hAnsi="Arial" w:cs="Arial"/>
          <w:i/>
          <w:sz w:val="22"/>
          <w:szCs w:val="22"/>
        </w:rPr>
        <w:t xml:space="preserve">tabulkách č. 8 a 9 </w:t>
      </w:r>
      <w:r>
        <w:rPr>
          <w:rFonts w:ascii="Arial" w:hAnsi="Arial" w:cs="Arial"/>
          <w:i/>
          <w:sz w:val="22"/>
          <w:szCs w:val="22"/>
        </w:rPr>
        <w:t>(str. 13, 14 Kontrolního závěru)</w:t>
      </w:r>
      <w:r w:rsidRPr="0064562E">
        <w:rPr>
          <w:rFonts w:ascii="Arial" w:hAnsi="Arial" w:cs="Arial"/>
          <w:i/>
          <w:sz w:val="22"/>
          <w:szCs w:val="22"/>
        </w:rPr>
        <w:t xml:space="preserve">. </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 xml:space="preserve">GFŘ sleduje a zveřejňuje informace o efektivnosti a nákladovosti správy daní za všechny daňové příjmy, nikoli za jednotlivé druhy daní. </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Personální informační systém GFŘ neumožňoval získat údaje o rozdělení pracovníků dle náplně jejich činnosti nebo dle jejich funkčního zařazení (správce daně, kontrolor, vedoucí atd.) pro výpočet nákladovosti na výběr jednotlivých majetkových daní. NKÚ získal pouze konkrétní mzdové výdaje v členění za jednotlivá oddělení a evidenční, resp. přepočtený evidenční počet pracovníků oddělení majetkových daní, kterým byly tyto mzdové prostředky vyplaceny. Pro nedostatek údajů provedl NKÚ výpočet pro stanovení celkových výdajů na</w:t>
      </w:r>
      <w:r w:rsidR="00016116">
        <w:rPr>
          <w:rFonts w:ascii="Arial" w:hAnsi="Arial" w:cs="Arial"/>
          <w:i/>
          <w:sz w:val="22"/>
          <w:szCs w:val="22"/>
        </w:rPr>
        <w:t> </w:t>
      </w:r>
      <w:r w:rsidRPr="0064562E">
        <w:rPr>
          <w:rFonts w:ascii="Arial" w:hAnsi="Arial" w:cs="Arial"/>
          <w:i/>
          <w:sz w:val="22"/>
          <w:szCs w:val="22"/>
        </w:rPr>
        <w:t xml:space="preserve">správu majetkových daní tak, že přepočetl investiční a ostatní výdaje podílem zaměstnanců oddělení majetkových daní na celkovém počtu zaměstnanců finanční správy. </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Výpočet efektivnosti a nákladovosti u majetkových daní vychází z údajů uvedených v</w:t>
      </w:r>
      <w:r>
        <w:rPr>
          <w:rFonts w:ascii="Arial" w:hAnsi="Arial" w:cs="Arial"/>
          <w:i/>
          <w:sz w:val="22"/>
          <w:szCs w:val="22"/>
        </w:rPr>
        <w:t> </w:t>
      </w:r>
      <w:r w:rsidRPr="0064562E">
        <w:rPr>
          <w:rFonts w:ascii="Arial" w:hAnsi="Arial" w:cs="Arial"/>
          <w:i/>
          <w:sz w:val="22"/>
          <w:szCs w:val="22"/>
        </w:rPr>
        <w:t xml:space="preserve">tabulkách č. 10 a 11 </w:t>
      </w:r>
      <w:r>
        <w:rPr>
          <w:rFonts w:ascii="Arial" w:hAnsi="Arial" w:cs="Arial"/>
          <w:i/>
          <w:sz w:val="22"/>
          <w:szCs w:val="22"/>
        </w:rPr>
        <w:t xml:space="preserve">(str. 14, 15 </w:t>
      </w:r>
      <w:r w:rsidRPr="0064562E">
        <w:rPr>
          <w:rFonts w:ascii="Arial" w:hAnsi="Arial" w:cs="Arial"/>
          <w:i/>
          <w:sz w:val="22"/>
          <w:szCs w:val="22"/>
        </w:rPr>
        <w:t>Kontrolního závěru</w:t>
      </w:r>
      <w:r>
        <w:rPr>
          <w:rFonts w:ascii="Arial" w:hAnsi="Arial" w:cs="Arial"/>
          <w:i/>
          <w:sz w:val="22"/>
          <w:szCs w:val="22"/>
        </w:rPr>
        <w:t>)</w:t>
      </w:r>
      <w:r w:rsidRPr="0064562E">
        <w:rPr>
          <w:rFonts w:ascii="Arial" w:hAnsi="Arial" w:cs="Arial"/>
          <w:i/>
          <w:sz w:val="22"/>
          <w:szCs w:val="22"/>
        </w:rPr>
        <w:t>.</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Výdaje na jednoho zaměstnance oddělení majetkových daní dosahovaly v letech 2012–2014 téměř stejných hodnot jako výdaje na jednoho zaměstnance finanční správy, oproti tomu příjmy na zaměstnance oddělení majetkových daní z inkasa majetkových daní byly třikrát nižší než příjmy z inkasa daní na jednoho zaměstnance finanční správy.</w:t>
      </w:r>
    </w:p>
    <w:p w:rsidR="002C3CFA" w:rsidRPr="0064562E" w:rsidRDefault="002C3CFA" w:rsidP="001F6809">
      <w:pPr>
        <w:autoSpaceDE w:val="0"/>
        <w:autoSpaceDN w:val="0"/>
        <w:adjustRightInd w:val="0"/>
        <w:jc w:val="both"/>
        <w:rPr>
          <w:rFonts w:ascii="Arial" w:hAnsi="Arial" w:cs="Arial"/>
          <w:i/>
          <w:sz w:val="22"/>
          <w:szCs w:val="22"/>
        </w:rPr>
      </w:pPr>
      <w:r w:rsidRPr="0064562E">
        <w:rPr>
          <w:rFonts w:ascii="Arial" w:hAnsi="Arial" w:cs="Arial"/>
          <w:i/>
          <w:sz w:val="22"/>
          <w:szCs w:val="22"/>
        </w:rPr>
        <w:t xml:space="preserve">Efektivnost výběru majetkových daní, tj. hodnota příjmů na 1 Kč výdajů, má mírně rostoucí tendenci. V poměru k efektivnosti výběru všech daní byla efektivnost výběru majetkových daní v letech 2012–2014 cca třikrát nižší. Nákladovost správy majetkových daní, tj. hodnota výdajů na 100 Kč příjmů, má naopak mírně klesající tendenci a je v poměru k nákladovosti správy všech daní třikrát vyšší. </w:t>
      </w:r>
    </w:p>
    <w:p w:rsidR="002C3CFA" w:rsidRPr="0064562E" w:rsidRDefault="002C3CFA" w:rsidP="001F6809">
      <w:pPr>
        <w:autoSpaceDE w:val="0"/>
        <w:autoSpaceDN w:val="0"/>
        <w:adjustRightInd w:val="0"/>
        <w:jc w:val="both"/>
        <w:outlineLvl w:val="0"/>
        <w:rPr>
          <w:rFonts w:ascii="Arial" w:hAnsi="Arial" w:cs="Arial"/>
          <w:i/>
          <w:sz w:val="22"/>
          <w:szCs w:val="22"/>
        </w:rPr>
      </w:pPr>
      <w:r w:rsidRPr="0064562E">
        <w:rPr>
          <w:rFonts w:ascii="Arial" w:hAnsi="Arial" w:cs="Arial"/>
          <w:i/>
          <w:sz w:val="22"/>
          <w:szCs w:val="22"/>
        </w:rPr>
        <w:t>Podle dat OECD tvoří příjmy z majetkových daní v ČR cca 1,38 % celkových daňových příjmů. V mezinárodním srovnání vybraných zemí je podíl příjmů z majetkových daní na</w:t>
      </w:r>
      <w:r w:rsidR="00016116">
        <w:rPr>
          <w:rFonts w:ascii="Arial" w:hAnsi="Arial" w:cs="Arial"/>
          <w:i/>
          <w:sz w:val="22"/>
          <w:szCs w:val="22"/>
        </w:rPr>
        <w:t> </w:t>
      </w:r>
      <w:r w:rsidRPr="0064562E">
        <w:rPr>
          <w:rFonts w:ascii="Arial" w:hAnsi="Arial" w:cs="Arial"/>
          <w:i/>
          <w:sz w:val="22"/>
          <w:szCs w:val="22"/>
        </w:rPr>
        <w:t>celkových daňových příjmech v ČR druhý nejnižší</w:t>
      </w:r>
      <w:r>
        <w:rPr>
          <w:rFonts w:ascii="Arial" w:hAnsi="Arial" w:cs="Arial"/>
          <w:i/>
          <w:sz w:val="22"/>
          <w:szCs w:val="22"/>
        </w:rPr>
        <w:t>.“</w:t>
      </w:r>
    </w:p>
    <w:p w:rsidR="002C3CFA" w:rsidRPr="001F6809" w:rsidRDefault="002C3CFA" w:rsidP="001F6809">
      <w:pPr>
        <w:jc w:val="both"/>
        <w:rPr>
          <w:rFonts w:ascii="Arial" w:hAnsi="Arial" w:cs="Arial"/>
          <w:b/>
          <w:bCs/>
          <w:iCs/>
          <w:sz w:val="22"/>
          <w:szCs w:val="22"/>
          <w:u w:val="single"/>
        </w:rPr>
      </w:pPr>
      <w:r w:rsidRPr="001F6809">
        <w:rPr>
          <w:rFonts w:ascii="Arial" w:hAnsi="Arial" w:cs="Arial"/>
          <w:b/>
          <w:bCs/>
          <w:iCs/>
          <w:sz w:val="22"/>
          <w:szCs w:val="22"/>
          <w:u w:val="single"/>
        </w:rPr>
        <w:t>Stanovisko:</w:t>
      </w:r>
    </w:p>
    <w:p w:rsidR="002C3CFA" w:rsidRPr="001F6809" w:rsidRDefault="002C3CFA" w:rsidP="001F6809">
      <w:pPr>
        <w:jc w:val="both"/>
        <w:rPr>
          <w:rFonts w:ascii="Arial" w:hAnsi="Arial" w:cs="Arial"/>
          <w:sz w:val="22"/>
          <w:szCs w:val="22"/>
        </w:rPr>
      </w:pPr>
      <w:r w:rsidRPr="001F6809">
        <w:rPr>
          <w:rFonts w:ascii="Arial" w:hAnsi="Arial" w:cs="Arial"/>
          <w:sz w:val="22"/>
          <w:szCs w:val="22"/>
        </w:rPr>
        <w:t xml:space="preserve">Číselník činností vznikl na Ministerstvu financí pod správou Ústředního finančního </w:t>
      </w:r>
      <w:r>
        <w:rPr>
          <w:rFonts w:ascii="Arial" w:hAnsi="Arial" w:cs="Arial"/>
          <w:sz w:val="22"/>
          <w:szCs w:val="22"/>
        </w:rPr>
        <w:t xml:space="preserve">a daňového </w:t>
      </w:r>
      <w:r w:rsidRPr="001F6809">
        <w:rPr>
          <w:rFonts w:ascii="Arial" w:hAnsi="Arial" w:cs="Arial"/>
          <w:sz w:val="22"/>
          <w:szCs w:val="22"/>
        </w:rPr>
        <w:t xml:space="preserve">ředitelství cca v roce 2002. Vzhledem k tomu, že byl používán v rámci Daňové správy, kdy každé Finanční ředitelství bylo samostatnou účetní jednotkou, byl tento číselník pouze doporučující. </w:t>
      </w:r>
    </w:p>
    <w:p w:rsidR="002C3CFA" w:rsidRPr="001F6809" w:rsidRDefault="002C3CFA" w:rsidP="001F6809">
      <w:pPr>
        <w:jc w:val="both"/>
        <w:rPr>
          <w:rFonts w:ascii="Arial" w:hAnsi="Arial" w:cs="Arial"/>
          <w:sz w:val="22"/>
          <w:szCs w:val="22"/>
        </w:rPr>
      </w:pPr>
      <w:r w:rsidRPr="001F6809">
        <w:rPr>
          <w:rFonts w:ascii="Arial" w:hAnsi="Arial" w:cs="Arial"/>
          <w:sz w:val="22"/>
          <w:szCs w:val="22"/>
        </w:rPr>
        <w:t>Konkrétní metodika nebyla zpracována, bylo pouze doporučeno jeho užití v případě vedoucích pracovníků, kdy vedoucí pracovníci byli evidováni dle úrovně řízení, zda se jedná o finanční ředitelství či finanční úřad, a to v</w:t>
      </w:r>
      <w:r>
        <w:rPr>
          <w:rFonts w:ascii="Arial" w:hAnsi="Arial" w:cs="Arial"/>
          <w:sz w:val="22"/>
          <w:szCs w:val="22"/>
        </w:rPr>
        <w:t> </w:t>
      </w:r>
      <w:r w:rsidRPr="001F6809">
        <w:rPr>
          <w:rFonts w:ascii="Arial" w:hAnsi="Arial" w:cs="Arial"/>
          <w:sz w:val="22"/>
          <w:szCs w:val="22"/>
        </w:rPr>
        <w:t>poměru</w:t>
      </w:r>
      <w:r>
        <w:rPr>
          <w:rFonts w:ascii="Arial" w:hAnsi="Arial" w:cs="Arial"/>
          <w:sz w:val="22"/>
          <w:szCs w:val="22"/>
        </w:rPr>
        <w:t>:</w:t>
      </w:r>
    </w:p>
    <w:p w:rsidR="002C3CFA" w:rsidRPr="001F6809" w:rsidRDefault="002C3CFA" w:rsidP="001F6809">
      <w:pPr>
        <w:jc w:val="both"/>
        <w:rPr>
          <w:rFonts w:ascii="Arial" w:hAnsi="Arial" w:cs="Arial"/>
          <w:sz w:val="22"/>
          <w:szCs w:val="22"/>
        </w:rPr>
      </w:pPr>
      <w:r w:rsidRPr="001F6809">
        <w:rPr>
          <w:rFonts w:ascii="Arial" w:hAnsi="Arial" w:cs="Arial"/>
          <w:sz w:val="22"/>
          <w:szCs w:val="22"/>
        </w:rPr>
        <w:t>- vedoucí oddělení 100% řízení,</w:t>
      </w:r>
    </w:p>
    <w:p w:rsidR="002C3CFA" w:rsidRPr="001F6809" w:rsidRDefault="002C3CFA" w:rsidP="001F6809">
      <w:pPr>
        <w:jc w:val="both"/>
        <w:rPr>
          <w:rFonts w:ascii="Arial" w:hAnsi="Arial" w:cs="Arial"/>
          <w:sz w:val="22"/>
          <w:szCs w:val="22"/>
        </w:rPr>
      </w:pPr>
      <w:r w:rsidRPr="001F6809">
        <w:rPr>
          <w:rFonts w:ascii="Arial" w:hAnsi="Arial" w:cs="Arial"/>
          <w:sz w:val="22"/>
          <w:szCs w:val="22"/>
        </w:rPr>
        <w:t>- vedoucí referátu 80% řízení a 20% výkon konkrétní činnosti dle oddělení,</w:t>
      </w:r>
    </w:p>
    <w:p w:rsidR="002C3CFA" w:rsidRPr="001F6809" w:rsidRDefault="002C3CFA" w:rsidP="001F6809">
      <w:pPr>
        <w:jc w:val="both"/>
        <w:rPr>
          <w:rFonts w:ascii="Arial" w:hAnsi="Arial" w:cs="Arial"/>
          <w:sz w:val="22"/>
          <w:szCs w:val="22"/>
        </w:rPr>
      </w:pPr>
      <w:r w:rsidRPr="001F6809">
        <w:rPr>
          <w:rFonts w:ascii="Arial" w:hAnsi="Arial" w:cs="Arial"/>
          <w:sz w:val="22"/>
          <w:szCs w:val="22"/>
        </w:rPr>
        <w:t>- u ostatních pracovníků postupovali při výběru činnosti z číselníku vedoucí vždy dle vlastního uvážení.</w:t>
      </w:r>
    </w:p>
    <w:p w:rsidR="002C3CFA" w:rsidRPr="001F6809" w:rsidRDefault="002C3CFA" w:rsidP="001F6809">
      <w:pPr>
        <w:jc w:val="both"/>
        <w:rPr>
          <w:rFonts w:ascii="Arial" w:hAnsi="Arial" w:cs="Arial"/>
          <w:sz w:val="22"/>
          <w:szCs w:val="22"/>
        </w:rPr>
      </w:pPr>
      <w:r w:rsidRPr="001F6809">
        <w:rPr>
          <w:rFonts w:ascii="Arial" w:hAnsi="Arial" w:cs="Arial"/>
          <w:sz w:val="22"/>
          <w:szCs w:val="22"/>
        </w:rPr>
        <w:lastRenderedPageBreak/>
        <w:t xml:space="preserve">Z personálního </w:t>
      </w:r>
      <w:r>
        <w:rPr>
          <w:rFonts w:ascii="Arial" w:hAnsi="Arial" w:cs="Arial"/>
          <w:sz w:val="22"/>
          <w:szCs w:val="22"/>
        </w:rPr>
        <w:t>IS</w:t>
      </w:r>
      <w:r w:rsidRPr="001F6809">
        <w:rPr>
          <w:rFonts w:ascii="Arial" w:hAnsi="Arial" w:cs="Arial"/>
          <w:sz w:val="22"/>
          <w:szCs w:val="22"/>
        </w:rPr>
        <w:t xml:space="preserve"> je možné získat konkrétní mzdové náklady v členění za jednotlivá oddělení, územní pracoviště či finanční úřad. V dané sestavě jsou zohledněni vždy všichni zařazení zaměstnanci daného pracoviště, včetně vedoucího (sestava S009 rozborová) – v</w:t>
      </w:r>
      <w:r>
        <w:rPr>
          <w:rFonts w:ascii="Arial" w:hAnsi="Arial" w:cs="Arial"/>
          <w:sz w:val="22"/>
          <w:szCs w:val="22"/>
        </w:rPr>
        <w:t> </w:t>
      </w:r>
      <w:r w:rsidRPr="001F6809">
        <w:rPr>
          <w:rFonts w:ascii="Arial" w:hAnsi="Arial" w:cs="Arial"/>
          <w:sz w:val="22"/>
          <w:szCs w:val="22"/>
        </w:rPr>
        <w:t>této sestavě je uvedeno členění dle jednotlivých složek platu, včetně nákladů zaměstnavatele, fyzického, evidenčního a přepočteného stavu zaměstnanců.</w:t>
      </w:r>
    </w:p>
    <w:p w:rsidR="002C3CFA" w:rsidRPr="001F6809" w:rsidRDefault="002C3CFA" w:rsidP="001F6809">
      <w:pPr>
        <w:jc w:val="both"/>
        <w:rPr>
          <w:rFonts w:ascii="Arial" w:hAnsi="Arial" w:cs="Arial"/>
          <w:sz w:val="22"/>
          <w:szCs w:val="22"/>
        </w:rPr>
      </w:pPr>
      <w:r w:rsidRPr="001F6809">
        <w:rPr>
          <w:rFonts w:ascii="Arial" w:hAnsi="Arial" w:cs="Arial"/>
          <w:sz w:val="22"/>
          <w:szCs w:val="22"/>
        </w:rPr>
        <w:t>Již v minulosti se na změně číselníku pracovalo, ale v důsledku organizačních změn nebylo možné tak rychle reagovat na nutné úpravy, které by přesně zachycovaly vykonávané činnosti. Změny v tak velkém rozsahu je nutné provádět na počátku účetního období, aby byla zachována vypovídací schopnost účetnictví a všech rozborů, které jsou za toto období předávány třetím stranám.</w:t>
      </w:r>
    </w:p>
    <w:p w:rsidR="002C3CFA" w:rsidRPr="001F6809" w:rsidRDefault="002C3CFA" w:rsidP="001F6809">
      <w:pPr>
        <w:jc w:val="both"/>
        <w:rPr>
          <w:rFonts w:ascii="Arial" w:hAnsi="Arial" w:cs="Arial"/>
          <w:sz w:val="22"/>
          <w:szCs w:val="22"/>
        </w:rPr>
      </w:pPr>
    </w:p>
    <w:p w:rsidR="002C3CFA" w:rsidRPr="001F6809" w:rsidRDefault="002C3CFA" w:rsidP="001F6809">
      <w:pPr>
        <w:jc w:val="both"/>
        <w:rPr>
          <w:rFonts w:ascii="Arial" w:hAnsi="Arial" w:cs="Arial"/>
          <w:sz w:val="22"/>
          <w:szCs w:val="22"/>
        </w:rPr>
      </w:pPr>
      <w:r w:rsidRPr="001F6809">
        <w:rPr>
          <w:rFonts w:ascii="Arial" w:hAnsi="Arial" w:cs="Arial"/>
          <w:sz w:val="22"/>
          <w:szCs w:val="22"/>
        </w:rPr>
        <w:t>GFŘ upozorňuje, že pro výpočet efektivnosti a nákladovosti správy příjmů z majetkových daní v Kontrolním závěru z kontrolní akce 15/15 byl použit rozdílný postup</w:t>
      </w:r>
      <w:r w:rsidR="007A4D23">
        <w:rPr>
          <w:rFonts w:ascii="Arial" w:hAnsi="Arial" w:cs="Arial"/>
          <w:sz w:val="22"/>
          <w:szCs w:val="22"/>
        </w:rPr>
        <w:t>,</w:t>
      </w:r>
      <w:r w:rsidRPr="001F6809">
        <w:rPr>
          <w:rFonts w:ascii="Arial" w:hAnsi="Arial" w:cs="Arial"/>
          <w:sz w:val="22"/>
          <w:szCs w:val="22"/>
        </w:rPr>
        <w:t xml:space="preserve"> než který byl použit </w:t>
      </w:r>
      <w:r w:rsidR="007A4D23">
        <w:rPr>
          <w:rFonts w:ascii="Arial" w:hAnsi="Arial" w:cs="Arial"/>
          <w:sz w:val="22"/>
          <w:szCs w:val="22"/>
        </w:rPr>
        <w:t xml:space="preserve">v </w:t>
      </w:r>
      <w:r w:rsidRPr="001F6809">
        <w:rPr>
          <w:rFonts w:ascii="Arial" w:hAnsi="Arial" w:cs="Arial"/>
          <w:sz w:val="22"/>
          <w:szCs w:val="22"/>
        </w:rPr>
        <w:t>Kontrolním protokolu o kontrole 15/15.</w:t>
      </w:r>
    </w:p>
    <w:p w:rsidR="002C3CFA" w:rsidRPr="001F6809" w:rsidRDefault="002C3CFA" w:rsidP="001F6809">
      <w:pPr>
        <w:jc w:val="both"/>
        <w:rPr>
          <w:rFonts w:ascii="Arial" w:hAnsi="Arial" w:cs="Arial"/>
          <w:sz w:val="22"/>
          <w:szCs w:val="22"/>
        </w:rPr>
      </w:pPr>
    </w:p>
    <w:p w:rsidR="002C3CFA" w:rsidRPr="001F6809" w:rsidRDefault="002C3CFA" w:rsidP="001F6809">
      <w:pPr>
        <w:autoSpaceDE w:val="0"/>
        <w:autoSpaceDN w:val="0"/>
        <w:adjustRightInd w:val="0"/>
        <w:jc w:val="both"/>
        <w:outlineLvl w:val="0"/>
        <w:rPr>
          <w:rFonts w:ascii="Arial" w:hAnsi="Arial" w:cs="Arial"/>
          <w:sz w:val="22"/>
          <w:szCs w:val="22"/>
        </w:rPr>
      </w:pPr>
      <w:r w:rsidRPr="001F6809">
        <w:rPr>
          <w:rFonts w:ascii="Arial" w:hAnsi="Arial" w:cs="Arial"/>
          <w:sz w:val="22"/>
          <w:szCs w:val="22"/>
        </w:rPr>
        <w:t>Nízká efektivnost majetkových daní je způsobena zejména nízkou sazbou daně. U daně z nabytí nemovitých věcí je sazba daně 4 %. U daně z nemovitých věcí je dokonce sazba daně v rozmezí od 0,20 Kč do 10 Kč v závislosti na druhu nemovité věci a způsobu jejího využití. V případě procentní sazby je nejvyšší sazba 0,75 %. Velký vliv na výnos majetkových daní má také četnost osvobození od daně. Bereme na vědomí konstatování NKÚ, že</w:t>
      </w:r>
      <w:r w:rsidR="00016116">
        <w:rPr>
          <w:rFonts w:ascii="Arial" w:hAnsi="Arial" w:cs="Arial"/>
          <w:sz w:val="22"/>
          <w:szCs w:val="22"/>
        </w:rPr>
        <w:t> </w:t>
      </w:r>
      <w:r w:rsidRPr="001F6809">
        <w:rPr>
          <w:rFonts w:ascii="Arial" w:hAnsi="Arial" w:cs="Arial"/>
          <w:sz w:val="22"/>
          <w:szCs w:val="22"/>
        </w:rPr>
        <w:t xml:space="preserve">faktorem, který nejvíce ovlivňuje nižší efektivnost a vyšší nákladovost, je nastavený systém zdanění, nikoliv nehospodárnost správce daně.  </w:t>
      </w:r>
    </w:p>
    <w:p w:rsidR="002C3CFA" w:rsidRPr="001F6809" w:rsidRDefault="002C3CFA" w:rsidP="001F6809">
      <w:pPr>
        <w:autoSpaceDE w:val="0"/>
        <w:autoSpaceDN w:val="0"/>
        <w:adjustRightInd w:val="0"/>
        <w:jc w:val="both"/>
        <w:outlineLvl w:val="0"/>
        <w:rPr>
          <w:rFonts w:ascii="Arial" w:hAnsi="Arial" w:cs="Arial"/>
          <w:sz w:val="22"/>
          <w:szCs w:val="22"/>
        </w:rPr>
      </w:pPr>
      <w:r>
        <w:rPr>
          <w:rFonts w:ascii="Arial" w:hAnsi="Arial" w:cs="Arial"/>
          <w:sz w:val="22"/>
          <w:szCs w:val="22"/>
        </w:rPr>
        <w:t>K 1. 1. 2016 již došlo k úpravě číselníku s vazbou činnosti na konkrétní útvar dle OŘ FS ČR.</w:t>
      </w:r>
    </w:p>
    <w:p w:rsidR="002C3CFA" w:rsidRPr="001F6809" w:rsidRDefault="002C3CFA" w:rsidP="001F6809">
      <w:pPr>
        <w:jc w:val="both"/>
        <w:rPr>
          <w:rFonts w:ascii="Arial" w:hAnsi="Arial" w:cs="Arial"/>
          <w:sz w:val="22"/>
          <w:szCs w:val="22"/>
        </w:rPr>
      </w:pPr>
    </w:p>
    <w:p w:rsidR="002C3CFA" w:rsidRPr="001F6809" w:rsidRDefault="002C3CFA" w:rsidP="001F6809">
      <w:pPr>
        <w:jc w:val="both"/>
        <w:rPr>
          <w:rFonts w:ascii="Arial" w:hAnsi="Arial" w:cs="Arial"/>
          <w:sz w:val="22"/>
          <w:szCs w:val="22"/>
        </w:rPr>
      </w:pPr>
    </w:p>
    <w:p w:rsidR="002C3CFA" w:rsidRPr="005E6C4A" w:rsidRDefault="002C3CFA" w:rsidP="001F6809">
      <w:pPr>
        <w:autoSpaceDE w:val="0"/>
        <w:autoSpaceDN w:val="0"/>
        <w:adjustRightInd w:val="0"/>
        <w:jc w:val="both"/>
        <w:rPr>
          <w:rFonts w:ascii="Arial" w:hAnsi="Arial" w:cs="Arial"/>
          <w:b/>
          <w:bCs/>
          <w:sz w:val="22"/>
          <w:szCs w:val="22"/>
        </w:rPr>
      </w:pPr>
      <w:r w:rsidRPr="005E6C4A">
        <w:rPr>
          <w:rFonts w:ascii="Arial" w:hAnsi="Arial" w:cs="Arial"/>
          <w:b/>
          <w:bCs/>
          <w:sz w:val="22"/>
          <w:szCs w:val="22"/>
        </w:rPr>
        <w:t>5. Dopady legislativních změn</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„Legislativní změny neměly vliv na inkaso daně z nemovitých věcí. Kladně se na inkasu projevila analytická činnost GFŘ, na základě které byly v roce 2014 do ADIS zavedeny elektronické kontrolní mechanismy.</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xml:space="preserve">Finanční dopad zavedení srovnávací daňové hodnoty jako základu daně z nabytí nemovitých věcí na příjmy státu nelze z ADIS zjistit. </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xml:space="preserve">Dopad zdaňování bezúplatných příjmů z dědictví a darování v rámci inkasa daně z příjmů nelze vzhledem k zahrnutí těchto příjmů do celkového základu daně zjistit. </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GFŘ pro správu majetkových daní navrhlo celkem 84 změn úloh ADIS, realizováno bylo 43 z</w:t>
      </w:r>
      <w:r>
        <w:rPr>
          <w:rFonts w:ascii="Arial" w:hAnsi="Arial" w:cs="Arial"/>
          <w:bCs/>
          <w:i/>
          <w:sz w:val="22"/>
          <w:szCs w:val="22"/>
        </w:rPr>
        <w:t> </w:t>
      </w:r>
      <w:r w:rsidRPr="001F6809">
        <w:rPr>
          <w:rFonts w:ascii="Arial" w:hAnsi="Arial" w:cs="Arial"/>
          <w:bCs/>
          <w:i/>
          <w:sz w:val="22"/>
          <w:szCs w:val="22"/>
        </w:rPr>
        <w:t>navržených změn. Nerealizovaly se například úlohy pro výpisy dat pro GFŘ (statistiky daně z nabytí nemovitých věcí) a zpracování dat pro GFŘ (statistiky stejné daně). GFŘ nemělo a</w:t>
      </w:r>
      <w:r>
        <w:rPr>
          <w:rFonts w:ascii="Arial" w:hAnsi="Arial" w:cs="Arial"/>
          <w:bCs/>
          <w:i/>
          <w:sz w:val="22"/>
          <w:szCs w:val="22"/>
        </w:rPr>
        <w:t> </w:t>
      </w:r>
      <w:r w:rsidRPr="001F6809">
        <w:rPr>
          <w:rFonts w:ascii="Arial" w:hAnsi="Arial" w:cs="Arial"/>
          <w:bCs/>
          <w:i/>
          <w:sz w:val="22"/>
          <w:szCs w:val="22"/>
        </w:rPr>
        <w:t>nemá k dispozici údaje o:</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hodnotě základu daně z nabytí nemovitých věcí dle způsobu stanovení nabývací hodnoty,</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četnosti způsobu stanovení nabývací hodnoty,</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počtu daňových subjektů, které vykázaly bezúplatný příjem v daňových přiznáních k daním z příjmů fyzických i právnických osob,</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celkové hodnotě bezúplatných příjmů, kterou daňové subjekty vykázaly v daňových přiznáních k daním z příjmů fyzických i právnických osob.</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Důvodem pro absenci výstupů a statistik pro daň z nabytí nemovitých věcí a pro bezúplatné příjmy implementované do daní z příjmů byl podle GFŘ nedostatek finančních prostředků. GFŘ v roce 2014 prioritně realizovalo v ADIS úlohy, které správci daně potřebovali k</w:t>
      </w:r>
      <w:r>
        <w:rPr>
          <w:rFonts w:ascii="Arial" w:hAnsi="Arial" w:cs="Arial"/>
          <w:bCs/>
          <w:i/>
          <w:sz w:val="22"/>
          <w:szCs w:val="22"/>
        </w:rPr>
        <w:t> </w:t>
      </w:r>
      <w:r w:rsidRPr="001F6809">
        <w:rPr>
          <w:rFonts w:ascii="Arial" w:hAnsi="Arial" w:cs="Arial"/>
          <w:bCs/>
          <w:i/>
          <w:sz w:val="22"/>
          <w:szCs w:val="22"/>
        </w:rPr>
        <w:t xml:space="preserve">vyměření daní. </w:t>
      </w:r>
    </w:p>
    <w:p w:rsidR="002C3CFA"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Náklady na úpravy ADIS, které si vyžádaly změny právní úpravy v letech 2012–2014, činily u</w:t>
      </w:r>
      <w:r>
        <w:rPr>
          <w:rFonts w:ascii="Arial" w:hAnsi="Arial" w:cs="Arial"/>
          <w:bCs/>
          <w:i/>
          <w:sz w:val="22"/>
          <w:szCs w:val="22"/>
        </w:rPr>
        <w:t> </w:t>
      </w:r>
      <w:r w:rsidRPr="001F6809">
        <w:rPr>
          <w:rFonts w:ascii="Arial" w:hAnsi="Arial" w:cs="Arial"/>
          <w:bCs/>
          <w:i/>
          <w:sz w:val="22"/>
          <w:szCs w:val="22"/>
        </w:rPr>
        <w:t>majetkových daní celkem 38,6 mil. Kč. Další změny, které vycházejí z původních návrhů na změny zdaňování majetku, např. změna poplatníka, by měly být schváleny v průběhu roku 2016, což vyvolá další požadavky na úpravy ADIS. Koncepčnost a celistvost přijímaných legislativních změn mohou pozitivně ovlivnit jak efektivnost, tak nákladovost systému zdanění.</w:t>
      </w:r>
      <w:r>
        <w:rPr>
          <w:rFonts w:ascii="Arial" w:hAnsi="Arial" w:cs="Arial"/>
          <w:bCs/>
          <w:i/>
          <w:sz w:val="22"/>
          <w:szCs w:val="22"/>
        </w:rPr>
        <w:t>“</w:t>
      </w:r>
    </w:p>
    <w:p w:rsidR="00016116" w:rsidRPr="001F6809" w:rsidRDefault="00016116" w:rsidP="001F6809">
      <w:pPr>
        <w:autoSpaceDE w:val="0"/>
        <w:autoSpaceDN w:val="0"/>
        <w:adjustRightInd w:val="0"/>
        <w:jc w:val="both"/>
        <w:rPr>
          <w:rFonts w:ascii="Arial" w:hAnsi="Arial" w:cs="Arial"/>
          <w:bCs/>
          <w:i/>
          <w:sz w:val="22"/>
          <w:szCs w:val="22"/>
        </w:rPr>
      </w:pPr>
    </w:p>
    <w:p w:rsidR="002C3CFA" w:rsidRPr="001F6809" w:rsidRDefault="002C3CFA" w:rsidP="001F6809">
      <w:pPr>
        <w:jc w:val="both"/>
        <w:rPr>
          <w:rFonts w:ascii="Arial" w:hAnsi="Arial" w:cs="Arial"/>
          <w:b/>
          <w:bCs/>
          <w:iCs/>
          <w:sz w:val="22"/>
          <w:szCs w:val="22"/>
          <w:u w:val="single"/>
        </w:rPr>
      </w:pPr>
      <w:r w:rsidRPr="001F6809">
        <w:rPr>
          <w:rFonts w:ascii="Arial" w:hAnsi="Arial" w:cs="Arial"/>
          <w:b/>
          <w:bCs/>
          <w:iCs/>
          <w:sz w:val="22"/>
          <w:szCs w:val="22"/>
          <w:u w:val="single"/>
        </w:rPr>
        <w:lastRenderedPageBreak/>
        <w:t>Stanovisko:</w:t>
      </w:r>
    </w:p>
    <w:p w:rsidR="002C3CFA" w:rsidRPr="001F6809" w:rsidRDefault="002C3CFA" w:rsidP="001F6809">
      <w:pPr>
        <w:jc w:val="both"/>
        <w:rPr>
          <w:rFonts w:ascii="Arial" w:hAnsi="Arial" w:cs="Arial"/>
          <w:sz w:val="22"/>
          <w:szCs w:val="22"/>
        </w:rPr>
      </w:pPr>
      <w:r w:rsidRPr="001F6809">
        <w:rPr>
          <w:rFonts w:ascii="Arial" w:hAnsi="Arial" w:cs="Arial"/>
          <w:sz w:val="22"/>
          <w:szCs w:val="22"/>
        </w:rPr>
        <w:t>Vzhledem k velkému počtu změn ve všech daňových zákonech jak v návaznosti na</w:t>
      </w:r>
      <w:r w:rsidR="00016116">
        <w:rPr>
          <w:rFonts w:ascii="Arial" w:hAnsi="Arial" w:cs="Arial"/>
          <w:sz w:val="22"/>
          <w:szCs w:val="22"/>
        </w:rPr>
        <w:t> </w:t>
      </w:r>
      <w:r w:rsidRPr="001F6809">
        <w:rPr>
          <w:rFonts w:ascii="Arial" w:hAnsi="Arial" w:cs="Arial"/>
          <w:sz w:val="22"/>
          <w:szCs w:val="22"/>
        </w:rPr>
        <w:t>rekodifikaci soukromého práva, tak z důvodu nutné realizace zásadních záměrů, je při tvorbě či úpravách úloh ADIS významné hledisko jejich financování. GFŘ proto musí volit priority a</w:t>
      </w:r>
      <w:r>
        <w:rPr>
          <w:rFonts w:ascii="Arial" w:hAnsi="Arial" w:cs="Arial"/>
          <w:sz w:val="22"/>
          <w:szCs w:val="22"/>
        </w:rPr>
        <w:t> </w:t>
      </w:r>
      <w:r w:rsidRPr="001F6809">
        <w:rPr>
          <w:rFonts w:ascii="Arial" w:hAnsi="Arial" w:cs="Arial"/>
          <w:sz w:val="22"/>
          <w:szCs w:val="22"/>
        </w:rPr>
        <w:t>zavádět změny do úloh postupně</w:t>
      </w:r>
      <w:r w:rsidR="007A4D23">
        <w:rPr>
          <w:rFonts w:ascii="Arial" w:hAnsi="Arial" w:cs="Arial"/>
          <w:sz w:val="22"/>
          <w:szCs w:val="22"/>
        </w:rPr>
        <w:t xml:space="preserve">, </w:t>
      </w:r>
      <w:r w:rsidR="007A4D23" w:rsidRPr="007A4D23">
        <w:rPr>
          <w:rFonts w:ascii="Arial" w:hAnsi="Arial" w:cs="Arial"/>
          <w:sz w:val="22"/>
          <w:szCs w:val="22"/>
        </w:rPr>
        <w:t>či požadovat postupné zavádění změn u úloh v</w:t>
      </w:r>
      <w:r w:rsidR="007A4D23">
        <w:rPr>
          <w:rFonts w:ascii="Arial" w:hAnsi="Arial" w:cs="Arial"/>
          <w:sz w:val="22"/>
          <w:szCs w:val="22"/>
        </w:rPr>
        <w:t> </w:t>
      </w:r>
      <w:r w:rsidR="007A4D23" w:rsidRPr="007A4D23">
        <w:rPr>
          <w:rFonts w:ascii="Arial" w:hAnsi="Arial" w:cs="Arial"/>
          <w:sz w:val="22"/>
          <w:szCs w:val="22"/>
        </w:rPr>
        <w:t>případech kdy jsou tyto úpravy v gesci MF</w:t>
      </w:r>
      <w:r w:rsidR="007A4D23">
        <w:rPr>
          <w:rFonts w:ascii="Arial" w:hAnsi="Arial" w:cs="Arial"/>
          <w:sz w:val="22"/>
          <w:szCs w:val="22"/>
        </w:rPr>
        <w:t>.</w:t>
      </w:r>
    </w:p>
    <w:p w:rsidR="002C3CFA" w:rsidRPr="001F6809" w:rsidRDefault="002C3CFA" w:rsidP="001F6809">
      <w:pPr>
        <w:jc w:val="both"/>
        <w:rPr>
          <w:rFonts w:ascii="Arial" w:hAnsi="Arial" w:cs="Arial"/>
          <w:sz w:val="22"/>
          <w:szCs w:val="22"/>
        </w:rPr>
      </w:pPr>
      <w:r w:rsidRPr="001F6809">
        <w:rPr>
          <w:rFonts w:ascii="Arial" w:hAnsi="Arial" w:cs="Arial"/>
          <w:sz w:val="22"/>
          <w:szCs w:val="22"/>
        </w:rPr>
        <w:t>Přidělování prostředků</w:t>
      </w:r>
      <w:r>
        <w:rPr>
          <w:rFonts w:ascii="Arial" w:hAnsi="Arial" w:cs="Arial"/>
          <w:sz w:val="22"/>
          <w:szCs w:val="22"/>
        </w:rPr>
        <w:t xml:space="preserve"> na úpravy ADIS</w:t>
      </w:r>
      <w:r w:rsidRPr="001F6809">
        <w:rPr>
          <w:rFonts w:ascii="Arial" w:hAnsi="Arial" w:cs="Arial"/>
          <w:sz w:val="22"/>
          <w:szCs w:val="22"/>
        </w:rPr>
        <w:t xml:space="preserve"> je mimo kompetenci GFŘ.</w:t>
      </w:r>
    </w:p>
    <w:p w:rsidR="002C3CFA" w:rsidRPr="001F6809" w:rsidRDefault="002C3CFA" w:rsidP="001F6809">
      <w:pPr>
        <w:jc w:val="both"/>
        <w:rPr>
          <w:rFonts w:ascii="Arial" w:hAnsi="Arial" w:cs="Arial"/>
          <w:bCs/>
          <w:iCs/>
          <w:sz w:val="22"/>
          <w:szCs w:val="22"/>
          <w:u w:val="single"/>
        </w:rPr>
      </w:pPr>
      <w:r w:rsidRPr="001F6809">
        <w:rPr>
          <w:rFonts w:ascii="Arial" w:hAnsi="Arial" w:cs="Arial"/>
          <w:bCs/>
          <w:iCs/>
          <w:sz w:val="22"/>
          <w:szCs w:val="22"/>
          <w:u w:val="single"/>
        </w:rPr>
        <w:t>Opatřen</w:t>
      </w:r>
      <w:r>
        <w:rPr>
          <w:rFonts w:ascii="Arial" w:hAnsi="Arial" w:cs="Arial"/>
          <w:bCs/>
          <w:iCs/>
          <w:sz w:val="22"/>
          <w:szCs w:val="22"/>
          <w:u w:val="single"/>
        </w:rPr>
        <w:t>í</w:t>
      </w:r>
      <w:r w:rsidRPr="001F6809">
        <w:rPr>
          <w:rFonts w:ascii="Arial" w:hAnsi="Arial" w:cs="Arial"/>
          <w:bCs/>
          <w:iCs/>
          <w:sz w:val="22"/>
          <w:szCs w:val="22"/>
          <w:u w:val="single"/>
        </w:rPr>
        <w:t>:</w:t>
      </w:r>
    </w:p>
    <w:p w:rsidR="002C3CFA" w:rsidRPr="001F6809" w:rsidRDefault="002C3CFA" w:rsidP="001F6809">
      <w:pPr>
        <w:jc w:val="both"/>
        <w:rPr>
          <w:rFonts w:ascii="Arial" w:hAnsi="Arial" w:cs="Arial"/>
          <w:sz w:val="22"/>
          <w:szCs w:val="22"/>
        </w:rPr>
      </w:pPr>
      <w:r w:rsidRPr="001F6809">
        <w:rPr>
          <w:rFonts w:ascii="Arial" w:hAnsi="Arial" w:cs="Arial"/>
          <w:sz w:val="22"/>
          <w:szCs w:val="22"/>
        </w:rPr>
        <w:t xml:space="preserve">V souvislosti se zásadními legislativními změnami, které mají dopad do správy daní, je třeba přidělit GFŘ optimální prostředky na jejich realizaci tak, aby bylo možné úkoly řešit komplexně a v potřebných lhůtách. </w:t>
      </w:r>
    </w:p>
    <w:p w:rsidR="002C3CFA" w:rsidRDefault="002C3CFA" w:rsidP="001F6809">
      <w:pPr>
        <w:jc w:val="both"/>
        <w:rPr>
          <w:rFonts w:ascii="Arial" w:hAnsi="Arial" w:cs="Arial"/>
          <w:bCs/>
          <w:iCs/>
          <w:sz w:val="22"/>
          <w:szCs w:val="22"/>
          <w:u w:val="single"/>
        </w:rPr>
      </w:pPr>
    </w:p>
    <w:p w:rsidR="002C3CFA" w:rsidRPr="001F6809" w:rsidRDefault="002C3CFA" w:rsidP="001F6809">
      <w:pPr>
        <w:jc w:val="both"/>
        <w:rPr>
          <w:rFonts w:ascii="Arial" w:hAnsi="Arial" w:cs="Arial"/>
          <w:bCs/>
          <w:iCs/>
          <w:sz w:val="22"/>
          <w:szCs w:val="22"/>
          <w:u w:val="single"/>
        </w:rPr>
      </w:pPr>
      <w:r w:rsidRPr="001F6809">
        <w:rPr>
          <w:rFonts w:ascii="Arial" w:hAnsi="Arial" w:cs="Arial"/>
          <w:bCs/>
          <w:iCs/>
          <w:sz w:val="22"/>
          <w:szCs w:val="22"/>
          <w:u w:val="single"/>
        </w:rPr>
        <w:t>Termín:</w:t>
      </w:r>
    </w:p>
    <w:p w:rsidR="002C3CFA" w:rsidRPr="001F6809" w:rsidRDefault="002C3CFA" w:rsidP="001F6809">
      <w:pPr>
        <w:autoSpaceDE w:val="0"/>
        <w:autoSpaceDN w:val="0"/>
        <w:adjustRightInd w:val="0"/>
        <w:jc w:val="both"/>
        <w:rPr>
          <w:rFonts w:ascii="Arial" w:hAnsi="Arial" w:cs="Arial"/>
          <w:bCs/>
          <w:sz w:val="22"/>
          <w:szCs w:val="22"/>
        </w:rPr>
      </w:pPr>
      <w:r>
        <w:rPr>
          <w:rFonts w:ascii="Arial" w:hAnsi="Arial" w:cs="Arial"/>
          <w:bCs/>
          <w:sz w:val="22"/>
          <w:szCs w:val="22"/>
        </w:rPr>
        <w:t>Průběžně</w:t>
      </w:r>
    </w:p>
    <w:p w:rsidR="002C3CFA" w:rsidRPr="001F6809" w:rsidRDefault="002C3CFA" w:rsidP="001F6809">
      <w:pPr>
        <w:autoSpaceDE w:val="0"/>
        <w:autoSpaceDN w:val="0"/>
        <w:adjustRightInd w:val="0"/>
        <w:jc w:val="both"/>
        <w:rPr>
          <w:rFonts w:ascii="Arial" w:hAnsi="Arial" w:cs="Arial"/>
          <w:b/>
          <w:bCs/>
          <w:i/>
          <w:sz w:val="22"/>
          <w:szCs w:val="22"/>
        </w:rPr>
      </w:pPr>
    </w:p>
    <w:p w:rsidR="002C3CFA" w:rsidRPr="001F6809" w:rsidRDefault="002C3CFA" w:rsidP="001F6809">
      <w:pPr>
        <w:autoSpaceDE w:val="0"/>
        <w:autoSpaceDN w:val="0"/>
        <w:adjustRightInd w:val="0"/>
        <w:jc w:val="both"/>
        <w:rPr>
          <w:rFonts w:ascii="Arial" w:hAnsi="Arial" w:cs="Arial"/>
          <w:b/>
          <w:bCs/>
          <w:i/>
          <w:sz w:val="22"/>
          <w:szCs w:val="22"/>
        </w:rPr>
      </w:pPr>
    </w:p>
    <w:p w:rsidR="002C3CFA" w:rsidRPr="001F6809" w:rsidRDefault="002C3CFA" w:rsidP="001F6809">
      <w:pPr>
        <w:autoSpaceDE w:val="0"/>
        <w:autoSpaceDN w:val="0"/>
        <w:adjustRightInd w:val="0"/>
        <w:jc w:val="both"/>
        <w:rPr>
          <w:rFonts w:ascii="Arial" w:hAnsi="Arial" w:cs="Arial"/>
          <w:b/>
          <w:bCs/>
          <w:i/>
          <w:sz w:val="22"/>
          <w:szCs w:val="22"/>
        </w:rPr>
      </w:pPr>
      <w:r w:rsidRPr="001F6809">
        <w:rPr>
          <w:rFonts w:ascii="Arial" w:hAnsi="Arial" w:cs="Arial"/>
          <w:b/>
          <w:bCs/>
          <w:i/>
          <w:sz w:val="22"/>
          <w:szCs w:val="22"/>
        </w:rPr>
        <w:t>Nepřijaté návrhy změn právní úpravy</w:t>
      </w:r>
    </w:p>
    <w:p w:rsidR="002C3CFA" w:rsidRPr="001F6809" w:rsidRDefault="002C3CFA" w:rsidP="001F6809">
      <w:pPr>
        <w:autoSpaceDE w:val="0"/>
        <w:autoSpaceDN w:val="0"/>
        <w:adjustRightInd w:val="0"/>
        <w:jc w:val="both"/>
        <w:rPr>
          <w:rFonts w:ascii="Arial" w:hAnsi="Arial" w:cs="Arial"/>
          <w:bCs/>
          <w:i/>
          <w:sz w:val="22"/>
          <w:szCs w:val="22"/>
          <w:u w:val="single"/>
        </w:rPr>
      </w:pPr>
      <w:r w:rsidRPr="001F6809">
        <w:rPr>
          <w:rFonts w:ascii="Arial" w:hAnsi="Arial" w:cs="Arial"/>
          <w:bCs/>
          <w:i/>
          <w:sz w:val="22"/>
          <w:szCs w:val="22"/>
          <w:u w:val="single"/>
        </w:rPr>
        <w:t>Zjištění NKÚ:</w:t>
      </w:r>
    </w:p>
    <w:p w:rsidR="002C3CFA" w:rsidRPr="001F6809" w:rsidRDefault="002C3CFA" w:rsidP="001F6809">
      <w:pPr>
        <w:autoSpaceDE w:val="0"/>
        <w:autoSpaceDN w:val="0"/>
        <w:adjustRightInd w:val="0"/>
        <w:jc w:val="both"/>
        <w:rPr>
          <w:rFonts w:ascii="Arial" w:hAnsi="Arial" w:cs="Arial"/>
          <w:bCs/>
          <w:i/>
          <w:sz w:val="22"/>
          <w:szCs w:val="22"/>
        </w:rPr>
      </w:pPr>
      <w:r>
        <w:rPr>
          <w:rFonts w:ascii="Arial" w:hAnsi="Arial" w:cs="Arial"/>
          <w:bCs/>
          <w:i/>
          <w:sz w:val="22"/>
          <w:szCs w:val="22"/>
        </w:rPr>
        <w:t>„</w:t>
      </w:r>
      <w:r w:rsidRPr="001F6809">
        <w:rPr>
          <w:rFonts w:ascii="Arial" w:hAnsi="Arial" w:cs="Arial"/>
          <w:bCs/>
          <w:i/>
          <w:sz w:val="22"/>
          <w:szCs w:val="22"/>
        </w:rPr>
        <w:t xml:space="preserve">Právní úprava účinná od 1. 1. 2014 neobsahuje původně navrhovanou změnu v osobě poplatníka daně, kterým měl být ve všech případech nabyvatel, přičemž současně mělo dojít ke zrušení institutu ručení. Cílem sjednocení osoby poplatníka a nabyvatele bylo zkrácení daňového řízení a snížení jeho administrativní náročnosti v souvislosti se zánikem institutu zákonného ručení. V současné době je změna v osobě poplatníka součástí novely zákonného opatření Senátu č. 340/2013 Sb. projednávané v Parlamentu ČR. </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xml:space="preserve">Navrhovaná právní úprava by korespondovala s právními úpravami v řadě států EU. Podle důvodové zprávy k vládnímu návrhu zákona v 16 z 20 členských států EU, které zdaňují úplatné převody nemovitostí, je poplatníkem nabyvatel. </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Vládní návrh zákona o dani z nabytí nemovitých věcí původně předpokládal také zavedení zdaňování vkladů nemovitostí do obchodních společností a zdaňování převodů účastí v</w:t>
      </w:r>
      <w:r>
        <w:rPr>
          <w:rFonts w:ascii="Arial" w:hAnsi="Arial" w:cs="Arial"/>
          <w:bCs/>
          <w:i/>
          <w:sz w:val="22"/>
          <w:szCs w:val="22"/>
        </w:rPr>
        <w:t> </w:t>
      </w:r>
      <w:r w:rsidRPr="001F6809">
        <w:rPr>
          <w:rFonts w:ascii="Arial" w:hAnsi="Arial" w:cs="Arial"/>
          <w:bCs/>
          <w:i/>
          <w:sz w:val="22"/>
          <w:szCs w:val="22"/>
        </w:rPr>
        <w:t>obchodních korporacích.</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Zákon č. 357/1992 Sb. obsahoval do 31. 12. 2013 daňové osvobození vkladů nemovitostí do obchodních společností nebo družstev při splnění časového testu pěti let. Ověřování splnění podmínek pro přiznání osvobození od daně bylo pro správce daně administrativně náročné.</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 xml:space="preserve">Zákonné opatření Senátu č. 340/2013 Sb. s účinností od 1. 1. 2014 osvobození vkladů nemovitých věcí do základního kapitálu obchodních korporací až na výjimky zrušilo. </w:t>
      </w:r>
    </w:p>
    <w:p w:rsidR="002C3CFA" w:rsidRPr="001F6809" w:rsidRDefault="002C3CFA" w:rsidP="001F6809">
      <w:pPr>
        <w:autoSpaceDE w:val="0"/>
        <w:autoSpaceDN w:val="0"/>
        <w:adjustRightInd w:val="0"/>
        <w:jc w:val="both"/>
        <w:rPr>
          <w:rFonts w:ascii="Arial" w:hAnsi="Arial" w:cs="Arial"/>
          <w:bCs/>
          <w:i/>
          <w:sz w:val="22"/>
          <w:szCs w:val="22"/>
        </w:rPr>
      </w:pPr>
      <w:r w:rsidRPr="001F6809">
        <w:rPr>
          <w:rFonts w:ascii="Arial" w:hAnsi="Arial" w:cs="Arial"/>
          <w:bCs/>
          <w:i/>
          <w:sz w:val="22"/>
          <w:szCs w:val="22"/>
        </w:rPr>
        <w:t>Převody obchodních podílů ve společnostech s ručením omezeným ani převody akcií emitovaných akciovými společnostmi, které vlastní nemovité věci, nepodléhají dani z nabytí nemovitých věcí, a to ani v případě, kdy je převáděno 100 % obchodního podílu nebo akcií.</w:t>
      </w:r>
    </w:p>
    <w:p w:rsidR="002C3CFA" w:rsidRPr="001F6809" w:rsidRDefault="002C3CFA" w:rsidP="001F6809">
      <w:pPr>
        <w:jc w:val="both"/>
        <w:rPr>
          <w:rFonts w:ascii="Arial" w:hAnsi="Arial" w:cs="Arial"/>
          <w:i/>
          <w:sz w:val="22"/>
          <w:szCs w:val="22"/>
        </w:rPr>
      </w:pPr>
      <w:r w:rsidRPr="001F6809">
        <w:rPr>
          <w:rFonts w:ascii="Arial" w:hAnsi="Arial" w:cs="Arial"/>
          <w:bCs/>
          <w:i/>
          <w:sz w:val="22"/>
          <w:szCs w:val="22"/>
        </w:rPr>
        <w:t>Dochází tak k situacím, kdy jsou společnosti založeny pouze za účelem vlastnictví nemovitosti, která je jediným majetkem společnosti, a převod 100% podílu nebo akcií společnosti zakrývá faktickou změnu vlastnictví nemovitosti. V osmi členských státech EU podléhají převody podílů v obchodních korporacích dani z nabytí nemovitých věcí, z toho v</w:t>
      </w:r>
      <w:r>
        <w:rPr>
          <w:rFonts w:ascii="Arial" w:hAnsi="Arial" w:cs="Arial"/>
          <w:bCs/>
          <w:i/>
          <w:sz w:val="22"/>
          <w:szCs w:val="22"/>
        </w:rPr>
        <w:t> </w:t>
      </w:r>
      <w:r w:rsidRPr="001F6809">
        <w:rPr>
          <w:rFonts w:ascii="Arial" w:hAnsi="Arial" w:cs="Arial"/>
          <w:bCs/>
          <w:i/>
          <w:sz w:val="22"/>
          <w:szCs w:val="22"/>
        </w:rPr>
        <w:t>šesti státech EU se jedná o zdanění převodů podílů v obchodních společnostech, které ve svém předmětu činnosti mají nakládání s nemovitostmi, výstavbu apod. Naproti tomu v pěti členských státech EU převody podílů zdanění nepodléhají.“</w:t>
      </w:r>
    </w:p>
    <w:p w:rsidR="002C3CFA" w:rsidRPr="001F6809" w:rsidRDefault="002C3CFA" w:rsidP="00FA6D03">
      <w:pPr>
        <w:autoSpaceDE w:val="0"/>
        <w:autoSpaceDN w:val="0"/>
        <w:adjustRightInd w:val="0"/>
        <w:jc w:val="both"/>
        <w:outlineLvl w:val="0"/>
        <w:rPr>
          <w:rFonts w:ascii="Arial" w:hAnsi="Arial" w:cs="Arial"/>
          <w:b/>
          <w:bCs/>
          <w:iCs/>
          <w:sz w:val="22"/>
          <w:szCs w:val="22"/>
          <w:u w:val="single"/>
        </w:rPr>
      </w:pPr>
      <w:r w:rsidRPr="001F6809">
        <w:rPr>
          <w:rFonts w:ascii="Arial" w:hAnsi="Arial" w:cs="Arial"/>
          <w:b/>
          <w:bCs/>
          <w:iCs/>
          <w:sz w:val="22"/>
          <w:szCs w:val="22"/>
          <w:u w:val="single"/>
        </w:rPr>
        <w:t>Stanovisko:</w:t>
      </w:r>
    </w:p>
    <w:p w:rsidR="00181571" w:rsidRPr="00181571" w:rsidRDefault="00181571" w:rsidP="00181571">
      <w:pPr>
        <w:jc w:val="both"/>
        <w:rPr>
          <w:rFonts w:ascii="Arial" w:hAnsi="Arial" w:cs="Arial"/>
          <w:sz w:val="22"/>
          <w:szCs w:val="22"/>
        </w:rPr>
      </w:pPr>
      <w:r w:rsidRPr="00181571">
        <w:rPr>
          <w:rFonts w:ascii="Arial" w:hAnsi="Arial" w:cs="Arial"/>
          <w:sz w:val="22"/>
          <w:szCs w:val="22"/>
        </w:rPr>
        <w:t xml:space="preserve">Uvedená zjištění NKÚ bereme na vědomí. </w:t>
      </w:r>
      <w:r>
        <w:rPr>
          <w:rFonts w:ascii="Arial" w:hAnsi="Arial" w:cs="Arial"/>
          <w:sz w:val="22"/>
          <w:szCs w:val="22"/>
        </w:rPr>
        <w:t>K tomuto dále uvádíme, ž</w:t>
      </w:r>
      <w:r w:rsidRPr="00181571">
        <w:rPr>
          <w:rFonts w:ascii="Arial" w:hAnsi="Arial" w:cs="Arial"/>
          <w:sz w:val="22"/>
          <w:szCs w:val="22"/>
        </w:rPr>
        <w:t xml:space="preserve">e schválená nová právní úprava je výsledkem celého legislativního procesu, během vlastního projednávání původního návrhu nové úpravy v Parlamentu ČR doznal určitých změn. </w:t>
      </w:r>
    </w:p>
    <w:p w:rsidR="00181571" w:rsidRPr="00181571" w:rsidRDefault="00181571" w:rsidP="00181571">
      <w:pPr>
        <w:jc w:val="both"/>
        <w:rPr>
          <w:rFonts w:ascii="Arial" w:hAnsi="Arial" w:cs="Arial"/>
          <w:sz w:val="22"/>
          <w:szCs w:val="22"/>
        </w:rPr>
      </w:pPr>
      <w:r w:rsidRPr="00181571">
        <w:rPr>
          <w:rFonts w:ascii="Arial" w:hAnsi="Arial" w:cs="Arial"/>
          <w:sz w:val="22"/>
          <w:szCs w:val="22"/>
        </w:rPr>
        <w:t>K vymezení osoby poplatníka daně z nabytí nemovitých věcí uv</w:t>
      </w:r>
      <w:r>
        <w:rPr>
          <w:rFonts w:ascii="Arial" w:hAnsi="Arial" w:cs="Arial"/>
          <w:sz w:val="22"/>
          <w:szCs w:val="22"/>
        </w:rPr>
        <w:t>ádíme, ž</w:t>
      </w:r>
      <w:r w:rsidRPr="00181571">
        <w:rPr>
          <w:rFonts w:ascii="Arial" w:hAnsi="Arial" w:cs="Arial"/>
          <w:sz w:val="22"/>
          <w:szCs w:val="22"/>
        </w:rPr>
        <w:t>e od prvopočátku bylo záměrem MF, aby poplatní</w:t>
      </w:r>
      <w:r>
        <w:rPr>
          <w:rFonts w:ascii="Arial" w:hAnsi="Arial" w:cs="Arial"/>
          <w:sz w:val="22"/>
          <w:szCs w:val="22"/>
        </w:rPr>
        <w:t>kem této daně byl primárně ve všech případech nabyvatel. Dosaž</w:t>
      </w:r>
      <w:r w:rsidRPr="00181571">
        <w:rPr>
          <w:rFonts w:ascii="Arial" w:hAnsi="Arial" w:cs="Arial"/>
          <w:sz w:val="22"/>
          <w:szCs w:val="22"/>
        </w:rPr>
        <w:t xml:space="preserve">ení této změny bylo předkladatelem od počátku navrhováno a prosazováno. V rámci </w:t>
      </w:r>
      <w:r>
        <w:rPr>
          <w:rFonts w:ascii="Arial" w:hAnsi="Arial" w:cs="Arial"/>
          <w:sz w:val="22"/>
          <w:szCs w:val="22"/>
        </w:rPr>
        <w:t>vývoje legislativního procesu vš</w:t>
      </w:r>
      <w:r w:rsidRPr="00181571">
        <w:rPr>
          <w:rFonts w:ascii="Arial" w:hAnsi="Arial" w:cs="Arial"/>
          <w:sz w:val="22"/>
          <w:szCs w:val="22"/>
        </w:rPr>
        <w:t>ak tato změna nebyla přijata</w:t>
      </w:r>
      <w:r>
        <w:rPr>
          <w:rFonts w:ascii="Arial" w:hAnsi="Arial" w:cs="Arial"/>
          <w:sz w:val="22"/>
          <w:szCs w:val="22"/>
        </w:rPr>
        <w:t>. Vzhledem k tomu, ž</w:t>
      </w:r>
      <w:r w:rsidRPr="00181571">
        <w:rPr>
          <w:rFonts w:ascii="Arial" w:hAnsi="Arial" w:cs="Arial"/>
          <w:sz w:val="22"/>
          <w:szCs w:val="22"/>
        </w:rPr>
        <w:t>e tohoto původního jedn</w:t>
      </w:r>
      <w:r>
        <w:rPr>
          <w:rFonts w:ascii="Arial" w:hAnsi="Arial" w:cs="Arial"/>
          <w:sz w:val="22"/>
          <w:szCs w:val="22"/>
        </w:rPr>
        <w:t>oho z hlavních cílů nebylo dosaž</w:t>
      </w:r>
      <w:r w:rsidRPr="00181571">
        <w:rPr>
          <w:rFonts w:ascii="Arial" w:hAnsi="Arial" w:cs="Arial"/>
          <w:sz w:val="22"/>
          <w:szCs w:val="22"/>
        </w:rPr>
        <w:t xml:space="preserve">eno, je změna stanovení poplatníka daně v osobě nabyvatele součástí novely zákonného opatření Senátu, která je v současné </w:t>
      </w:r>
      <w:r w:rsidRPr="00181571">
        <w:rPr>
          <w:rFonts w:ascii="Arial" w:hAnsi="Arial" w:cs="Arial"/>
          <w:sz w:val="22"/>
          <w:szCs w:val="22"/>
        </w:rPr>
        <w:lastRenderedPageBreak/>
        <w:t xml:space="preserve">době projednávána Poslaneckou sněmovnou ČR jako tisk 639. Důvodem pro tento opakovaný návrh </w:t>
      </w:r>
      <w:r>
        <w:rPr>
          <w:rFonts w:ascii="Arial" w:hAnsi="Arial" w:cs="Arial"/>
          <w:sz w:val="22"/>
          <w:szCs w:val="22"/>
        </w:rPr>
        <w:t>změny je mimo jiné skutečnost, ž</w:t>
      </w:r>
      <w:r w:rsidRPr="00181571">
        <w:rPr>
          <w:rFonts w:ascii="Arial" w:hAnsi="Arial" w:cs="Arial"/>
          <w:sz w:val="22"/>
          <w:szCs w:val="22"/>
        </w:rPr>
        <w:t>e stanovení nabyvatele poplatníkem daně z nabytí nemovitých věcí je z pohledu koncepce zákonného opatření logické a směřuje k</w:t>
      </w:r>
      <w:r>
        <w:rPr>
          <w:rFonts w:ascii="Arial" w:hAnsi="Arial" w:cs="Arial"/>
          <w:sz w:val="22"/>
          <w:szCs w:val="22"/>
        </w:rPr>
        <w:t> </w:t>
      </w:r>
      <w:r w:rsidRPr="00181571">
        <w:rPr>
          <w:rFonts w:ascii="Arial" w:hAnsi="Arial" w:cs="Arial"/>
          <w:sz w:val="22"/>
          <w:szCs w:val="22"/>
        </w:rPr>
        <w:t>přehlednosti a jednoznačnosti právní úpravy a efektivnosti výběru daně.</w:t>
      </w:r>
    </w:p>
    <w:p w:rsidR="002C3CFA" w:rsidRPr="00181571" w:rsidRDefault="00181571" w:rsidP="00181571">
      <w:pPr>
        <w:jc w:val="both"/>
        <w:rPr>
          <w:rFonts w:ascii="Arial" w:hAnsi="Arial" w:cs="Arial"/>
          <w:sz w:val="22"/>
          <w:szCs w:val="22"/>
        </w:rPr>
      </w:pPr>
      <w:r w:rsidRPr="00181571">
        <w:rPr>
          <w:rFonts w:ascii="Arial" w:hAnsi="Arial" w:cs="Arial"/>
          <w:sz w:val="22"/>
          <w:szCs w:val="22"/>
        </w:rPr>
        <w:t>Původním záměrem zákona, předloženém MF v rámci legislativního procesu, bylo podrobit této dani rovněž změny ovládajících osob v obchodních korporacích, je-li v majetku korporace nemovitá věc, tj. rozšířit předmět daně na případy převodů podílů v obchodních korporacích vlastnící</w:t>
      </w:r>
      <w:r>
        <w:rPr>
          <w:rFonts w:ascii="Arial" w:hAnsi="Arial" w:cs="Arial"/>
          <w:sz w:val="22"/>
          <w:szCs w:val="22"/>
        </w:rPr>
        <w:t>ch nemovité věci. Tato úprava vš</w:t>
      </w:r>
      <w:r w:rsidRPr="00181571">
        <w:rPr>
          <w:rFonts w:ascii="Arial" w:hAnsi="Arial" w:cs="Arial"/>
          <w:sz w:val="22"/>
          <w:szCs w:val="22"/>
        </w:rPr>
        <w:t>ak ve vazbě na řadu zásadních nesouhlasných připomínek uplatněných v rámci vnějšího připomínkového řízení byla nakonec vypuštěna. V souvislosti se zrušením osvobození vkladů nemovitých věcí do základního kapitálu obchodn</w:t>
      </w:r>
      <w:r>
        <w:rPr>
          <w:rFonts w:ascii="Arial" w:hAnsi="Arial" w:cs="Arial"/>
          <w:sz w:val="22"/>
          <w:szCs w:val="22"/>
        </w:rPr>
        <w:t>ích korporací lze konstatovat, že právní úprava převzala již</w:t>
      </w:r>
      <w:r w:rsidRPr="00181571">
        <w:rPr>
          <w:rFonts w:ascii="Arial" w:hAnsi="Arial" w:cs="Arial"/>
          <w:sz w:val="22"/>
          <w:szCs w:val="22"/>
        </w:rPr>
        <w:t xml:space="preserve"> dříve schválenou právní úpravu obsaženou v zákoně č. 458/2011 Sb., o změně zákonů související se zřízením jednoho inkasního místa a dalších změnách daňových a pojistných zákonů.</w:t>
      </w:r>
    </w:p>
    <w:p w:rsidR="002C3CFA" w:rsidRDefault="002C3CFA" w:rsidP="001F6809">
      <w:pPr>
        <w:autoSpaceDE w:val="0"/>
        <w:autoSpaceDN w:val="0"/>
        <w:adjustRightInd w:val="0"/>
        <w:jc w:val="both"/>
        <w:outlineLvl w:val="0"/>
        <w:rPr>
          <w:rFonts w:ascii="Arial" w:hAnsi="Arial" w:cs="Arial"/>
          <w:bCs/>
          <w:iCs/>
          <w:sz w:val="22"/>
          <w:szCs w:val="22"/>
        </w:rPr>
      </w:pPr>
    </w:p>
    <w:p w:rsidR="002C3CFA" w:rsidRDefault="002C3CFA" w:rsidP="00D30EE5">
      <w:pPr>
        <w:numPr>
          <w:ilvl w:val="0"/>
          <w:numId w:val="1"/>
        </w:numPr>
        <w:autoSpaceDE w:val="0"/>
        <w:autoSpaceDN w:val="0"/>
        <w:adjustRightInd w:val="0"/>
        <w:ind w:left="426" w:hanging="426"/>
        <w:jc w:val="both"/>
        <w:outlineLvl w:val="0"/>
        <w:rPr>
          <w:rFonts w:ascii="Arial" w:hAnsi="Arial" w:cs="Arial"/>
          <w:b/>
          <w:sz w:val="22"/>
          <w:szCs w:val="22"/>
          <w:u w:val="single"/>
        </w:rPr>
      </w:pPr>
      <w:r>
        <w:rPr>
          <w:rFonts w:ascii="Arial" w:hAnsi="Arial" w:cs="Arial"/>
          <w:b/>
          <w:sz w:val="22"/>
          <w:szCs w:val="22"/>
          <w:u w:val="single"/>
        </w:rPr>
        <w:t>Závěr</w:t>
      </w:r>
    </w:p>
    <w:p w:rsidR="002C3CFA" w:rsidRDefault="002C3CFA" w:rsidP="001F76B4">
      <w:pPr>
        <w:autoSpaceDE w:val="0"/>
        <w:autoSpaceDN w:val="0"/>
        <w:adjustRightInd w:val="0"/>
        <w:jc w:val="both"/>
        <w:outlineLvl w:val="0"/>
        <w:rPr>
          <w:rFonts w:ascii="Arial" w:hAnsi="Arial" w:cs="Arial"/>
          <w:sz w:val="22"/>
          <w:szCs w:val="22"/>
        </w:rPr>
      </w:pPr>
      <w:r>
        <w:rPr>
          <w:rFonts w:ascii="Arial" w:hAnsi="Arial" w:cs="Arial"/>
          <w:sz w:val="22"/>
          <w:szCs w:val="22"/>
        </w:rPr>
        <w:t>MF a GFŘ uvádí, že nízká efektivnost při výběru majetkových daní je dána především nízkou sazbou u daně z nabytí nemovitých věcí, která je 4 %. U daně z nemovitých věcí je dokonce sazba v rozmezí od 0,20 Kč do 10 Kč v závislosti na druhu a způsobu využití nemovité věci. Nižší efektivnost je tedy ovlivněna nastaveným systémem zdanění a nikoli nehospodárností správce daně.</w:t>
      </w:r>
    </w:p>
    <w:p w:rsidR="002C3CFA" w:rsidRDefault="002C3CFA" w:rsidP="00811FFD">
      <w:pPr>
        <w:jc w:val="both"/>
        <w:rPr>
          <w:rFonts w:ascii="Arial" w:hAnsi="Arial" w:cs="Arial"/>
          <w:sz w:val="22"/>
          <w:szCs w:val="22"/>
        </w:rPr>
      </w:pPr>
      <w:r>
        <w:rPr>
          <w:rFonts w:ascii="Arial" w:hAnsi="Arial" w:cs="Arial"/>
          <w:sz w:val="22"/>
          <w:szCs w:val="22"/>
        </w:rPr>
        <w:t xml:space="preserve">Pokud jde o objem nedoplatků, jak uvádí NKÚ u daně z nemovitých věcí, často se jedná o tzv. bagatelní daňové nedoplatky. Finanční správa však nepodceňuje žádný z těchto evidovaných nedoplatků. K zefektivnění vymáhání nedoplatků byl v roce 2013 vydán metodický pokyn a následně byl i na konci roku 2015 aktualizován. Finanční správa se tedy stále snaží o co nejvyšší efektivnost při vymáhání nedoplatků a do budoucna </w:t>
      </w:r>
      <w:r w:rsidRPr="00811FFD">
        <w:rPr>
          <w:rFonts w:ascii="Arial" w:hAnsi="Arial" w:cs="Arial"/>
          <w:sz w:val="22"/>
          <w:szCs w:val="22"/>
        </w:rPr>
        <w:t>připravuje novou koncepci vymáhání, v níž se hodlá zaměřit na změny některých dosavadních a</w:t>
      </w:r>
      <w:r>
        <w:rPr>
          <w:rFonts w:ascii="Arial" w:hAnsi="Arial" w:cs="Arial"/>
          <w:sz w:val="22"/>
          <w:szCs w:val="22"/>
        </w:rPr>
        <w:t> </w:t>
      </w:r>
      <w:r w:rsidRPr="00811FFD">
        <w:rPr>
          <w:rFonts w:ascii="Arial" w:hAnsi="Arial" w:cs="Arial"/>
          <w:sz w:val="22"/>
          <w:szCs w:val="22"/>
        </w:rPr>
        <w:t>vytvoření nových systémových opatření, která by měla zvýšit efektivitu vymáhání nedoplatků</w:t>
      </w:r>
      <w:r>
        <w:rPr>
          <w:rFonts w:ascii="Arial" w:hAnsi="Arial" w:cs="Arial"/>
          <w:sz w:val="22"/>
          <w:szCs w:val="22"/>
        </w:rPr>
        <w:t>.</w:t>
      </w:r>
    </w:p>
    <w:p w:rsidR="002C3CFA" w:rsidRDefault="002C3CFA" w:rsidP="001F76B4">
      <w:pPr>
        <w:autoSpaceDE w:val="0"/>
        <w:autoSpaceDN w:val="0"/>
        <w:adjustRightInd w:val="0"/>
        <w:jc w:val="both"/>
        <w:outlineLvl w:val="0"/>
        <w:rPr>
          <w:rFonts w:ascii="Arial" w:hAnsi="Arial" w:cs="Arial"/>
          <w:sz w:val="22"/>
          <w:szCs w:val="22"/>
        </w:rPr>
      </w:pPr>
    </w:p>
    <w:p w:rsidR="002C3CFA" w:rsidRDefault="002C3CFA" w:rsidP="00811FFD">
      <w:pPr>
        <w:autoSpaceDE w:val="0"/>
        <w:autoSpaceDN w:val="0"/>
        <w:adjustRightInd w:val="0"/>
        <w:jc w:val="both"/>
        <w:outlineLvl w:val="0"/>
        <w:rPr>
          <w:rFonts w:ascii="Arial" w:hAnsi="Arial" w:cs="Arial"/>
          <w:sz w:val="22"/>
          <w:szCs w:val="22"/>
        </w:rPr>
      </w:pPr>
      <w:r>
        <w:rPr>
          <w:rFonts w:ascii="Arial" w:hAnsi="Arial" w:cs="Arial"/>
          <w:sz w:val="22"/>
          <w:szCs w:val="22"/>
        </w:rPr>
        <w:t xml:space="preserve">NKÚ také během kontroly prověřovalo </w:t>
      </w:r>
      <w:proofErr w:type="spellStart"/>
      <w:r>
        <w:rPr>
          <w:rFonts w:ascii="Arial" w:hAnsi="Arial" w:cs="Arial"/>
          <w:sz w:val="22"/>
          <w:szCs w:val="22"/>
        </w:rPr>
        <w:t>dohlídkové</w:t>
      </w:r>
      <w:proofErr w:type="spellEnd"/>
      <w:r>
        <w:rPr>
          <w:rFonts w:ascii="Arial" w:hAnsi="Arial" w:cs="Arial"/>
          <w:sz w:val="22"/>
          <w:szCs w:val="22"/>
        </w:rPr>
        <w:t xml:space="preserve"> činnosti. GFŘ k tomu uvádí, že k</w:t>
      </w:r>
      <w:r w:rsidRPr="001F76B4">
        <w:rPr>
          <w:rFonts w:ascii="Arial" w:hAnsi="Arial" w:cs="Arial"/>
          <w:sz w:val="22"/>
          <w:szCs w:val="22"/>
        </w:rPr>
        <w:t>ontrolní činnost formou dohlídky z územních finančních orgánů nebyla v roce 2012 prováděna z níže uvedených důvodů:</w:t>
      </w:r>
    </w:p>
    <w:p w:rsidR="002C3CFA" w:rsidRDefault="002C3CFA" w:rsidP="002D5D03">
      <w:pPr>
        <w:autoSpaceDE w:val="0"/>
        <w:autoSpaceDN w:val="0"/>
        <w:adjustRightInd w:val="0"/>
        <w:jc w:val="both"/>
        <w:outlineLvl w:val="0"/>
        <w:rPr>
          <w:rFonts w:ascii="Arial" w:hAnsi="Arial" w:cs="Arial"/>
          <w:sz w:val="22"/>
          <w:szCs w:val="22"/>
        </w:rPr>
      </w:pPr>
      <w:r w:rsidRPr="001F76B4">
        <w:rPr>
          <w:rFonts w:ascii="Arial" w:hAnsi="Arial" w:cs="Arial"/>
          <w:sz w:val="22"/>
          <w:szCs w:val="22"/>
        </w:rPr>
        <w:t xml:space="preserve">Počínaje rokem 2011 a zejména v průběhu roku 2012 byla připravována rozsáhlá reorganizace územních finančních orgánů podle zákona č. 456/2011 Sb., o Finanční správě České republiky, ve znění pozdějších předpisů, který nabyl účinnosti 1. 1. 2013. To byl prioritní a stěžejní úkol pracovníků Generálního finančního ředitelství. Od 1. 1. 2013 vzniklo 14 finančních úřadů s krajskou územní působností a zároveň zaniklo dosavadních 199 finančních úřadů, které byly přetransformovány na územní pracoviště. Tyto změny se výrazným způsobem promítly především do správy daně z nemovitostí, neboť se velmi razantně změnila místní příslušnost správce daně, tj. z dosavadních 199 finančních úřadů (správců daně) na 14. Od zdaňovacího období roku 2013 je vyměřována poplatníkům jedna daň z nemovitostí za všechny nemovitosti v kraji a kompletní spis daně z nemovitostí je uložen pouze na jednom územním pracovišti. Obdobná změna se týkala i daně z převodu nemovitostí a daně dědické a darovací, byť nedocházelo k fyzickému stěhování spisů jako u daně z nemovitostí.  </w:t>
      </w:r>
    </w:p>
    <w:p w:rsidR="002C3CFA" w:rsidRDefault="002C3CFA" w:rsidP="002D5D03">
      <w:pPr>
        <w:autoSpaceDE w:val="0"/>
        <w:autoSpaceDN w:val="0"/>
        <w:adjustRightInd w:val="0"/>
        <w:jc w:val="both"/>
        <w:outlineLvl w:val="0"/>
        <w:rPr>
          <w:rFonts w:ascii="Arial" w:hAnsi="Arial" w:cs="Arial"/>
          <w:sz w:val="22"/>
          <w:szCs w:val="22"/>
        </w:rPr>
      </w:pPr>
      <w:r w:rsidRPr="001F76B4">
        <w:rPr>
          <w:rFonts w:ascii="Arial" w:hAnsi="Arial" w:cs="Arial"/>
          <w:sz w:val="22"/>
          <w:szCs w:val="22"/>
        </w:rPr>
        <w:t>Reorganizace na úseku majetkových daní, a zejména na úseku daně z nemovitostí, musela být z podstatné části připravena k 1. 1. 2013 (a to za intenzivní účasti pracovníků všech stupňů daňové správy) tak, aby tyto daně mohly být v roce 2013 vyměřeny v souladu se zákonem. V průběhu roku 2012 pracovníci odboru majetkových daní, oceňování a ostatních agend GFŘ pro zabezpečení hladkého průběhu reorganizace</w:t>
      </w:r>
      <w:r>
        <w:rPr>
          <w:rFonts w:ascii="Arial" w:hAnsi="Arial" w:cs="Arial"/>
          <w:sz w:val="22"/>
          <w:szCs w:val="22"/>
        </w:rPr>
        <w:t>:</w:t>
      </w:r>
      <w:r w:rsidRPr="001F76B4">
        <w:rPr>
          <w:rFonts w:ascii="Arial" w:hAnsi="Arial" w:cs="Arial"/>
          <w:sz w:val="22"/>
          <w:szCs w:val="22"/>
        </w:rPr>
        <w:t xml:space="preserve"> </w:t>
      </w:r>
    </w:p>
    <w:p w:rsidR="002C3CFA" w:rsidRPr="002D5D03" w:rsidRDefault="002C3CFA" w:rsidP="002D5D03">
      <w:pPr>
        <w:pStyle w:val="Odstavecseseznamem"/>
        <w:numPr>
          <w:ilvl w:val="0"/>
          <w:numId w:val="15"/>
        </w:numPr>
        <w:autoSpaceDE w:val="0"/>
        <w:autoSpaceDN w:val="0"/>
        <w:adjustRightInd w:val="0"/>
        <w:jc w:val="both"/>
        <w:outlineLvl w:val="0"/>
        <w:rPr>
          <w:rFonts w:ascii="Arial" w:hAnsi="Arial" w:cs="Arial"/>
          <w:sz w:val="22"/>
          <w:szCs w:val="22"/>
        </w:rPr>
      </w:pPr>
      <w:r w:rsidRPr="002D5D03">
        <w:rPr>
          <w:rFonts w:ascii="Arial" w:hAnsi="Arial" w:cs="Arial"/>
          <w:sz w:val="22"/>
          <w:szCs w:val="22"/>
        </w:rPr>
        <w:t>provedli osobně instruktáž pro pracovníky majetkových daní postupně ve všech   krajích</w:t>
      </w:r>
      <w:r>
        <w:rPr>
          <w:rFonts w:ascii="Arial" w:hAnsi="Arial" w:cs="Arial"/>
          <w:sz w:val="22"/>
          <w:szCs w:val="22"/>
        </w:rPr>
        <w:t>,</w:t>
      </w:r>
      <w:r w:rsidRPr="002D5D03">
        <w:rPr>
          <w:rFonts w:ascii="Arial" w:hAnsi="Arial" w:cs="Arial"/>
          <w:sz w:val="22"/>
          <w:szCs w:val="22"/>
        </w:rPr>
        <w:t xml:space="preserve"> </w:t>
      </w:r>
    </w:p>
    <w:p w:rsidR="002C3CFA" w:rsidRPr="001F76B4" w:rsidRDefault="002C3CFA" w:rsidP="001F76B4">
      <w:pPr>
        <w:numPr>
          <w:ilvl w:val="0"/>
          <w:numId w:val="15"/>
        </w:numPr>
        <w:autoSpaceDE w:val="0"/>
        <w:autoSpaceDN w:val="0"/>
        <w:adjustRightInd w:val="0"/>
        <w:jc w:val="both"/>
        <w:outlineLvl w:val="0"/>
        <w:rPr>
          <w:rFonts w:ascii="Arial" w:hAnsi="Arial" w:cs="Arial"/>
          <w:sz w:val="22"/>
          <w:szCs w:val="22"/>
        </w:rPr>
      </w:pPr>
      <w:r w:rsidRPr="001F76B4">
        <w:rPr>
          <w:rFonts w:ascii="Arial" w:hAnsi="Arial" w:cs="Arial"/>
          <w:sz w:val="22"/>
          <w:szCs w:val="22"/>
        </w:rPr>
        <w:t>zpracovali a rozeslali prezentace, harmonogramy prací apod. a průběžně kontrolovali stav plnění harmonogramu prací</w:t>
      </w:r>
      <w:r>
        <w:rPr>
          <w:rFonts w:ascii="Arial" w:hAnsi="Arial" w:cs="Arial"/>
          <w:sz w:val="22"/>
          <w:szCs w:val="22"/>
        </w:rPr>
        <w:t>,</w:t>
      </w:r>
    </w:p>
    <w:p w:rsidR="002C3CFA" w:rsidRPr="001F76B4" w:rsidRDefault="002C3CFA" w:rsidP="001F76B4">
      <w:pPr>
        <w:numPr>
          <w:ilvl w:val="0"/>
          <w:numId w:val="15"/>
        </w:numPr>
        <w:autoSpaceDE w:val="0"/>
        <w:autoSpaceDN w:val="0"/>
        <w:adjustRightInd w:val="0"/>
        <w:jc w:val="both"/>
        <w:outlineLvl w:val="0"/>
        <w:rPr>
          <w:rFonts w:ascii="Arial" w:hAnsi="Arial" w:cs="Arial"/>
          <w:sz w:val="22"/>
          <w:szCs w:val="22"/>
        </w:rPr>
      </w:pPr>
      <w:r w:rsidRPr="001F76B4">
        <w:rPr>
          <w:rFonts w:ascii="Arial" w:hAnsi="Arial" w:cs="Arial"/>
          <w:sz w:val="22"/>
          <w:szCs w:val="22"/>
        </w:rPr>
        <w:t>organizovali porady s metodiky FÚ a konzultační činnost.</w:t>
      </w: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lastRenderedPageBreak/>
        <w:t xml:space="preserve">Správci majetkových daní FÚ pak zejména ve druhém pololetí 2012 museli zabezpečit zkompletování a přestěhování cca 500 000 spisů mezi pracovišti v rámci jednotlivých krajů. </w:t>
      </w:r>
    </w:p>
    <w:p w:rsidR="002C3CFA" w:rsidRPr="001F76B4" w:rsidRDefault="002C3CFA" w:rsidP="001F76B4">
      <w:pPr>
        <w:autoSpaceDE w:val="0"/>
        <w:autoSpaceDN w:val="0"/>
        <w:adjustRightInd w:val="0"/>
        <w:jc w:val="both"/>
        <w:outlineLvl w:val="0"/>
        <w:rPr>
          <w:rFonts w:ascii="Arial" w:hAnsi="Arial" w:cs="Arial"/>
          <w:sz w:val="22"/>
          <w:szCs w:val="22"/>
        </w:rPr>
      </w:pP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Ve druhém pololetí roku 2013 pak pracovníci odboru majetkových daní, oceňování a ostatních agend GFŘ připravovali realizaci změn zapracovaných do daňových zákonů v souvislosti s rekodifikací soukromého práva. Na úseku majetkových daní se jednalo o</w:t>
      </w:r>
      <w:r>
        <w:rPr>
          <w:rFonts w:ascii="Arial" w:hAnsi="Arial" w:cs="Arial"/>
          <w:sz w:val="22"/>
          <w:szCs w:val="22"/>
        </w:rPr>
        <w:t> </w:t>
      </w:r>
      <w:r w:rsidRPr="001F76B4">
        <w:rPr>
          <w:rFonts w:ascii="Arial" w:hAnsi="Arial" w:cs="Arial"/>
          <w:sz w:val="22"/>
          <w:szCs w:val="22"/>
        </w:rPr>
        <w:t xml:space="preserve">rozsáhlou novelu zákona č.338/1992 Sb., o dani z nemovitostí (nově o dani z nemovitých věcí) a zákonné opatření Senátu č.340/2013 Sb., o dani z nabytí nemovitých věcí. </w:t>
      </w: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Na podzim 2013 pracovníci odboru zabezpečili pro orgány finanční správy</w:t>
      </w:r>
      <w:r>
        <w:rPr>
          <w:rFonts w:ascii="Arial" w:hAnsi="Arial" w:cs="Arial"/>
          <w:sz w:val="22"/>
          <w:szCs w:val="22"/>
        </w:rPr>
        <w:t>:</w:t>
      </w:r>
    </w:p>
    <w:p w:rsidR="002C3CFA" w:rsidRPr="001F76B4" w:rsidRDefault="002C3CFA" w:rsidP="001F76B4">
      <w:pPr>
        <w:numPr>
          <w:ilvl w:val="0"/>
          <w:numId w:val="16"/>
        </w:numPr>
        <w:autoSpaceDE w:val="0"/>
        <w:autoSpaceDN w:val="0"/>
        <w:adjustRightInd w:val="0"/>
        <w:jc w:val="both"/>
        <w:outlineLvl w:val="0"/>
        <w:rPr>
          <w:rFonts w:ascii="Arial" w:hAnsi="Arial" w:cs="Arial"/>
          <w:sz w:val="22"/>
          <w:szCs w:val="22"/>
        </w:rPr>
      </w:pPr>
      <w:r w:rsidRPr="001F76B4">
        <w:rPr>
          <w:rFonts w:ascii="Arial" w:hAnsi="Arial" w:cs="Arial"/>
          <w:sz w:val="22"/>
          <w:szCs w:val="22"/>
        </w:rPr>
        <w:t>proškolení všech správců daně z nemovitých věcí, daně z nabytí nemovitých věcí a</w:t>
      </w:r>
      <w:r>
        <w:rPr>
          <w:rFonts w:ascii="Arial" w:hAnsi="Arial" w:cs="Arial"/>
          <w:sz w:val="22"/>
          <w:szCs w:val="22"/>
        </w:rPr>
        <w:t> </w:t>
      </w:r>
      <w:r w:rsidRPr="001F76B4">
        <w:rPr>
          <w:rFonts w:ascii="Arial" w:hAnsi="Arial" w:cs="Arial"/>
          <w:sz w:val="22"/>
          <w:szCs w:val="22"/>
        </w:rPr>
        <w:t>pracovníků oceňování k legislativním změnám (v průběhu měsíců září – prosinec proškoleno cca 1</w:t>
      </w:r>
      <w:r>
        <w:rPr>
          <w:rFonts w:ascii="Arial" w:hAnsi="Arial" w:cs="Arial"/>
          <w:sz w:val="22"/>
          <w:szCs w:val="22"/>
        </w:rPr>
        <w:t xml:space="preserve"> </w:t>
      </w:r>
      <w:r w:rsidRPr="001F76B4">
        <w:rPr>
          <w:rFonts w:ascii="Arial" w:hAnsi="Arial" w:cs="Arial"/>
          <w:sz w:val="22"/>
          <w:szCs w:val="22"/>
        </w:rPr>
        <w:t>200 pracovníků u každé daně a cca 350 pracovníků oceňování)</w:t>
      </w:r>
      <w:r>
        <w:rPr>
          <w:rFonts w:ascii="Arial" w:hAnsi="Arial" w:cs="Arial"/>
          <w:sz w:val="22"/>
          <w:szCs w:val="22"/>
        </w:rPr>
        <w:t>,</w:t>
      </w:r>
      <w:r w:rsidRPr="001F76B4">
        <w:rPr>
          <w:rFonts w:ascii="Arial" w:hAnsi="Arial" w:cs="Arial"/>
          <w:sz w:val="22"/>
          <w:szCs w:val="22"/>
        </w:rPr>
        <w:t xml:space="preserve"> </w:t>
      </w:r>
    </w:p>
    <w:p w:rsidR="002C3CFA" w:rsidRPr="001F76B4" w:rsidRDefault="002C3CFA" w:rsidP="001F76B4">
      <w:pPr>
        <w:numPr>
          <w:ilvl w:val="0"/>
          <w:numId w:val="16"/>
        </w:numPr>
        <w:autoSpaceDE w:val="0"/>
        <w:autoSpaceDN w:val="0"/>
        <w:adjustRightInd w:val="0"/>
        <w:jc w:val="both"/>
        <w:outlineLvl w:val="0"/>
        <w:rPr>
          <w:rFonts w:ascii="Arial" w:hAnsi="Arial" w:cs="Arial"/>
          <w:sz w:val="22"/>
          <w:szCs w:val="22"/>
        </w:rPr>
      </w:pPr>
      <w:r w:rsidRPr="001F76B4">
        <w:rPr>
          <w:rFonts w:ascii="Arial" w:hAnsi="Arial" w:cs="Arial"/>
          <w:sz w:val="22"/>
          <w:szCs w:val="22"/>
        </w:rPr>
        <w:t>zpracování a rozeslání prezentací s výkladem zákona a pomůckami pro aplikaci legislativních změn</w:t>
      </w:r>
      <w:r>
        <w:rPr>
          <w:rFonts w:ascii="Arial" w:hAnsi="Arial" w:cs="Arial"/>
          <w:sz w:val="22"/>
          <w:szCs w:val="22"/>
        </w:rPr>
        <w:t>,</w:t>
      </w:r>
    </w:p>
    <w:p w:rsidR="002C3CFA" w:rsidRPr="001F76B4" w:rsidRDefault="002C3CFA" w:rsidP="001F76B4">
      <w:pPr>
        <w:numPr>
          <w:ilvl w:val="0"/>
          <w:numId w:val="16"/>
        </w:numPr>
        <w:autoSpaceDE w:val="0"/>
        <w:autoSpaceDN w:val="0"/>
        <w:adjustRightInd w:val="0"/>
        <w:jc w:val="both"/>
        <w:outlineLvl w:val="0"/>
        <w:rPr>
          <w:rFonts w:ascii="Arial" w:hAnsi="Arial" w:cs="Arial"/>
          <w:sz w:val="22"/>
          <w:szCs w:val="22"/>
        </w:rPr>
      </w:pPr>
      <w:r w:rsidRPr="001F76B4">
        <w:rPr>
          <w:rFonts w:ascii="Arial" w:hAnsi="Arial" w:cs="Arial"/>
          <w:sz w:val="22"/>
          <w:szCs w:val="22"/>
        </w:rPr>
        <w:t>porady s metodiky FÚ a konzultační činnost.</w:t>
      </w: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 xml:space="preserve">S ohledem na krátkou </w:t>
      </w:r>
      <w:proofErr w:type="spellStart"/>
      <w:r w:rsidRPr="001F76B4">
        <w:rPr>
          <w:rFonts w:ascii="Arial" w:hAnsi="Arial" w:cs="Arial"/>
          <w:sz w:val="22"/>
          <w:szCs w:val="22"/>
        </w:rPr>
        <w:t>legisvakanci</w:t>
      </w:r>
      <w:proofErr w:type="spellEnd"/>
      <w:r w:rsidRPr="001F76B4">
        <w:rPr>
          <w:rFonts w:ascii="Arial" w:hAnsi="Arial" w:cs="Arial"/>
          <w:sz w:val="22"/>
          <w:szCs w:val="22"/>
        </w:rPr>
        <w:t xml:space="preserve"> uvedených změn</w:t>
      </w:r>
      <w:r>
        <w:rPr>
          <w:rFonts w:ascii="Arial" w:hAnsi="Arial" w:cs="Arial"/>
          <w:sz w:val="22"/>
          <w:szCs w:val="22"/>
        </w:rPr>
        <w:t>, na n</w:t>
      </w:r>
      <w:r w:rsidR="00181571">
        <w:rPr>
          <w:rFonts w:ascii="Arial" w:hAnsi="Arial" w:cs="Arial"/>
          <w:sz w:val="22"/>
          <w:szCs w:val="22"/>
        </w:rPr>
        <w:t>i</w:t>
      </w:r>
      <w:r>
        <w:rPr>
          <w:rFonts w:ascii="Arial" w:hAnsi="Arial" w:cs="Arial"/>
          <w:sz w:val="22"/>
          <w:szCs w:val="22"/>
        </w:rPr>
        <w:t>ž měl zásadní vliv vlastní legislativní proces přijímání změn v daňových zákonech navržených v souvislosti s rekodifikací soukromého práva,</w:t>
      </w:r>
      <w:r w:rsidRPr="001F76B4">
        <w:rPr>
          <w:rFonts w:ascii="Arial" w:hAnsi="Arial" w:cs="Arial"/>
          <w:sz w:val="22"/>
          <w:szCs w:val="22"/>
        </w:rPr>
        <w:t xml:space="preserve"> pak v prvním pololetí 2014 museli pracovníci majetkových daní GFŘ zabezpečit technickou podporu pro správu majetkových daní (tj. zpracování příslušných úloh IS ADIS) a výkladová stanoviska jak pro správce daně, tak pro veřejnost. </w:t>
      </w:r>
    </w:p>
    <w:p w:rsidR="002C3CFA" w:rsidRPr="001F76B4" w:rsidRDefault="002C3CFA" w:rsidP="001F76B4">
      <w:pPr>
        <w:autoSpaceDE w:val="0"/>
        <w:autoSpaceDN w:val="0"/>
        <w:adjustRightInd w:val="0"/>
        <w:jc w:val="both"/>
        <w:outlineLvl w:val="0"/>
        <w:rPr>
          <w:rFonts w:ascii="Arial" w:hAnsi="Arial" w:cs="Arial"/>
          <w:sz w:val="22"/>
          <w:szCs w:val="22"/>
        </w:rPr>
      </w:pP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 xml:space="preserve">Z uvedených důvodů proto nebyly v roce 2012, 2013 a prvním pololetí 2014 provedeny formalizované dohlídky na činnosti ÚFO v působnosti odboru. Intenzivní dohled nad činností správců majetkových daní byl však zabezpečen jiným způsobem, tj. kontrolou plnění harmonogramů (např. i prostřednictvím statistických výstupů z IS ADIS), v rámci konzultační a přednáškové činnosti pracovníků GFŘ.  </w:t>
      </w:r>
    </w:p>
    <w:p w:rsidR="002C3CFA" w:rsidRPr="001F76B4"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 xml:space="preserve">Jak vyplývá z Kontrolních protokolů u jednotlivých finančních úřadů, kontrola NKÚ ověřila, že finanční úřady (resp. v roce 2012 finanční ředitelství) v kontrolovaném období prováděly průběžně </w:t>
      </w:r>
      <w:proofErr w:type="spellStart"/>
      <w:r w:rsidRPr="001F76B4">
        <w:rPr>
          <w:rFonts w:ascii="Arial" w:hAnsi="Arial" w:cs="Arial"/>
          <w:sz w:val="22"/>
          <w:szCs w:val="22"/>
        </w:rPr>
        <w:t>dohlídkovou</w:t>
      </w:r>
      <w:proofErr w:type="spellEnd"/>
      <w:r w:rsidRPr="001F76B4">
        <w:rPr>
          <w:rFonts w:ascii="Arial" w:hAnsi="Arial" w:cs="Arial"/>
          <w:sz w:val="22"/>
          <w:szCs w:val="22"/>
        </w:rPr>
        <w:t xml:space="preserve"> činnost či vnitřní kontroly do 31. 12. 2012 podle Směrnice č. 1/12 generálního ředitele - Vnitřní kontrolní systém územních finančních orgánů a od 1. 1. 2013 podle Směrnice GFŘ č.11/2013 – Vnitřní kontrolní systém. V letech 2012 – 2014 tak bylo provedeno např. Finančním úřadem pro Plzeňský kraj 6, Finančním úřadem pro Jihomoravský kraj 8, Finančním úřadem pro Ústecký kraj 20 a Finančním úřadem pro Moravskoslezský kraj 19 dohlídek či vnitřních kontrol.</w:t>
      </w:r>
    </w:p>
    <w:p w:rsidR="002C3CFA" w:rsidRPr="0009014D" w:rsidRDefault="002C3CFA" w:rsidP="001F76B4">
      <w:pPr>
        <w:autoSpaceDE w:val="0"/>
        <w:autoSpaceDN w:val="0"/>
        <w:adjustRightInd w:val="0"/>
        <w:jc w:val="both"/>
        <w:outlineLvl w:val="0"/>
        <w:rPr>
          <w:rFonts w:ascii="Arial" w:hAnsi="Arial" w:cs="Arial"/>
          <w:sz w:val="22"/>
          <w:szCs w:val="22"/>
        </w:rPr>
      </w:pPr>
      <w:r w:rsidRPr="001F76B4">
        <w:rPr>
          <w:rFonts w:ascii="Arial" w:hAnsi="Arial" w:cs="Arial"/>
          <w:sz w:val="22"/>
          <w:szCs w:val="22"/>
        </w:rPr>
        <w:t>Není od věci zmínit i personální možnosti oddělení majetkových daní a daně si</w:t>
      </w:r>
      <w:r>
        <w:rPr>
          <w:rFonts w:ascii="Arial" w:hAnsi="Arial" w:cs="Arial"/>
          <w:sz w:val="22"/>
          <w:szCs w:val="22"/>
        </w:rPr>
        <w:t>lniční, do</w:t>
      </w:r>
      <w:r w:rsidR="00016116">
        <w:rPr>
          <w:rFonts w:ascii="Arial" w:hAnsi="Arial" w:cs="Arial"/>
          <w:sz w:val="22"/>
          <w:szCs w:val="22"/>
        </w:rPr>
        <w:t> </w:t>
      </w:r>
      <w:r>
        <w:rPr>
          <w:rFonts w:ascii="Arial" w:hAnsi="Arial" w:cs="Arial"/>
          <w:sz w:val="22"/>
          <w:szCs w:val="22"/>
        </w:rPr>
        <w:t>jehož kompetence řídi</w:t>
      </w:r>
      <w:r w:rsidRPr="001F76B4">
        <w:rPr>
          <w:rFonts w:ascii="Arial" w:hAnsi="Arial" w:cs="Arial"/>
          <w:sz w:val="22"/>
          <w:szCs w:val="22"/>
        </w:rPr>
        <w:t>cí a metodická činnost v oblasti majetkových daní náleží, neboť v</w:t>
      </w:r>
      <w:r w:rsidR="00016116">
        <w:rPr>
          <w:rFonts w:ascii="Arial" w:hAnsi="Arial" w:cs="Arial"/>
          <w:sz w:val="22"/>
          <w:szCs w:val="22"/>
        </w:rPr>
        <w:t> </w:t>
      </w:r>
      <w:r w:rsidRPr="001F76B4">
        <w:rPr>
          <w:rFonts w:ascii="Arial" w:hAnsi="Arial" w:cs="Arial"/>
          <w:sz w:val="22"/>
          <w:szCs w:val="22"/>
        </w:rPr>
        <w:t>roce 2012 mělo toto oddělení 6 pracovníků včetně vedoucího, kteří zajišťovali oblast daně z nemovitostí, daně z převodu nemovitostí, daně dědické, daně darovací, z toho jedna pracovnice zajišťovala kromě majetkových daní i problematiku odvodu z loterií aj. podobných her. S ohledem na nedostatečné personální kapacity útvarů na GFŘ je zřejmé, že část zodpovědnosti za realizaci kontrolní činnosti v rámci vnitřn</w:t>
      </w:r>
      <w:r>
        <w:rPr>
          <w:rFonts w:ascii="Arial" w:hAnsi="Arial" w:cs="Arial"/>
          <w:sz w:val="22"/>
          <w:szCs w:val="22"/>
        </w:rPr>
        <w:t>í kontroly musí spočívat na řídi</w:t>
      </w:r>
      <w:r w:rsidRPr="001F76B4">
        <w:rPr>
          <w:rFonts w:ascii="Arial" w:hAnsi="Arial" w:cs="Arial"/>
          <w:sz w:val="22"/>
          <w:szCs w:val="22"/>
        </w:rPr>
        <w:t>cích centrech finančních úřadů, což tyto evidentně plní.</w:t>
      </w:r>
      <w:r>
        <w:rPr>
          <w:rFonts w:ascii="Arial" w:hAnsi="Arial" w:cs="Arial"/>
          <w:sz w:val="22"/>
          <w:szCs w:val="22"/>
        </w:rPr>
        <w:t xml:space="preserve"> </w:t>
      </w:r>
    </w:p>
    <w:p w:rsidR="002C3CFA" w:rsidRPr="001F6809" w:rsidRDefault="002C3CFA" w:rsidP="001F6809">
      <w:pPr>
        <w:autoSpaceDE w:val="0"/>
        <w:autoSpaceDN w:val="0"/>
        <w:adjustRightInd w:val="0"/>
        <w:jc w:val="both"/>
        <w:outlineLvl w:val="0"/>
        <w:rPr>
          <w:rFonts w:ascii="Arial" w:hAnsi="Arial" w:cs="Arial"/>
          <w:bCs/>
          <w:iCs/>
          <w:sz w:val="22"/>
          <w:szCs w:val="22"/>
        </w:rPr>
      </w:pPr>
    </w:p>
    <w:sectPr w:rsidR="002C3CFA" w:rsidRPr="001F6809" w:rsidSect="009E5F4A">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CFA" w:rsidRDefault="002C3CFA" w:rsidP="00242386">
      <w:r>
        <w:separator/>
      </w:r>
    </w:p>
  </w:endnote>
  <w:endnote w:type="continuationSeparator" w:id="0">
    <w:p w:rsidR="002C3CFA" w:rsidRDefault="002C3CFA" w:rsidP="002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CFA" w:rsidRPr="00242386" w:rsidRDefault="002C3CFA" w:rsidP="00242386">
    <w:pPr>
      <w:pStyle w:val="Podtitul"/>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967565">
      <w:rPr>
        <w:rFonts w:ascii="Arial" w:hAnsi="Arial" w:cs="Arial"/>
        <w:noProof/>
        <w:sz w:val="22"/>
        <w:szCs w:val="22"/>
      </w:rPr>
      <w:t>2</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967565">
      <w:rPr>
        <w:rFonts w:ascii="Arial" w:hAnsi="Arial" w:cs="Arial"/>
        <w:noProof/>
        <w:sz w:val="22"/>
        <w:szCs w:val="22"/>
      </w:rPr>
      <w:t>14</w:t>
    </w:r>
    <w:r>
      <w:rPr>
        <w:rFonts w:ascii="Arial" w:hAnsi="Arial" w:cs="Arial"/>
        <w:sz w:val="22"/>
        <w:szCs w:val="22"/>
      </w:rPr>
      <w:fldChar w:fldCharType="end"/>
    </w:r>
    <w:r>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CFA" w:rsidRDefault="002C3CFA" w:rsidP="00242386">
      <w:r>
        <w:separator/>
      </w:r>
    </w:p>
  </w:footnote>
  <w:footnote w:type="continuationSeparator" w:id="0">
    <w:p w:rsidR="002C3CFA" w:rsidRDefault="002C3CFA" w:rsidP="0024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AE2"/>
    <w:multiLevelType w:val="hybridMultilevel"/>
    <w:tmpl w:val="133C3C40"/>
    <w:lvl w:ilvl="0" w:tplc="A7FAACC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DA55A9"/>
    <w:multiLevelType w:val="multilevel"/>
    <w:tmpl w:val="F6F60646"/>
    <w:lvl w:ilvl="0">
      <w:start w:val="1"/>
      <w:numFmt w:val="lowerLetter"/>
      <w:pStyle w:val="Odstavec"/>
      <w:lvlText w:val="%1)"/>
      <w:lvlJc w:val="left"/>
      <w:pPr>
        <w:ind w:left="360" w:hanging="360"/>
      </w:pPr>
      <w:rPr>
        <w:rFonts w:ascii="Times New Roman" w:eastAsia="Times New Roman" w:hAnsi="Times New Roman" w:cs="Times New Roman"/>
      </w:rPr>
    </w:lvl>
    <w:lvl w:ilvl="1">
      <w:start w:val="1"/>
      <w:numFmt w:val="lowerLetter"/>
      <w:pStyle w:val="Pismeno"/>
      <w:lvlText w:val="%2)"/>
      <w:lvlJc w:val="left"/>
      <w:pPr>
        <w:ind w:left="786" w:hanging="360"/>
      </w:pPr>
      <w:rPr>
        <w:rFonts w:cs="Times New Roman" w:hint="default"/>
        <w:strike w:val="0"/>
        <w:sz w:val="28"/>
        <w:szCs w:val="28"/>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700" w:hanging="360"/>
      </w:pPr>
      <w:rPr>
        <w:rFonts w:ascii="Times New Roman" w:eastAsia="Times New Roman" w:hAnsi="Times New Roman" w:cs="Times New Roman"/>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12F91275"/>
    <w:multiLevelType w:val="hybridMultilevel"/>
    <w:tmpl w:val="A2BA47EE"/>
    <w:lvl w:ilvl="0" w:tplc="A7FAACC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6C95887"/>
    <w:multiLevelType w:val="hybridMultilevel"/>
    <w:tmpl w:val="F85EFA8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nsid w:val="17DC01D4"/>
    <w:multiLevelType w:val="hybridMultilevel"/>
    <w:tmpl w:val="1986A12C"/>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5">
    <w:nsid w:val="18FD6415"/>
    <w:multiLevelType w:val="hybridMultilevel"/>
    <w:tmpl w:val="ACB419F8"/>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6">
    <w:nsid w:val="1DD6558F"/>
    <w:multiLevelType w:val="hybridMultilevel"/>
    <w:tmpl w:val="3B941EB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nsid w:val="201914B7"/>
    <w:multiLevelType w:val="hybridMultilevel"/>
    <w:tmpl w:val="0A7CA5D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2744091F"/>
    <w:multiLevelType w:val="hybridMultilevel"/>
    <w:tmpl w:val="4260D4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B37716E"/>
    <w:multiLevelType w:val="hybridMultilevel"/>
    <w:tmpl w:val="FBD8358A"/>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46FA1BD1"/>
    <w:multiLevelType w:val="hybridMultilevel"/>
    <w:tmpl w:val="992800E6"/>
    <w:lvl w:ilvl="0" w:tplc="0405000F">
      <w:start w:val="1"/>
      <w:numFmt w:val="decimal"/>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nsid w:val="571A48F1"/>
    <w:multiLevelType w:val="hybridMultilevel"/>
    <w:tmpl w:val="C682F0A8"/>
    <w:lvl w:ilvl="0" w:tplc="5816DDA6">
      <w:start w:val="1"/>
      <w:numFmt w:val="upperLetter"/>
      <w:lvlText w:val="%1."/>
      <w:lvlJc w:val="left"/>
      <w:pPr>
        <w:ind w:left="720" w:hanging="360"/>
      </w:pPr>
      <w:rPr>
        <w:rFonts w:cs="Times New Roman" w:hint="default"/>
        <w:b/>
      </w:rPr>
    </w:lvl>
    <w:lvl w:ilvl="1" w:tplc="5E4ABD34">
      <w:start w:val="1"/>
      <w:numFmt w:val="bullet"/>
      <w:lvlText w:val=""/>
      <w:lvlJc w:val="left"/>
      <w:pPr>
        <w:tabs>
          <w:tab w:val="num" w:pos="1440"/>
        </w:tabs>
        <w:ind w:left="1440" w:hanging="360"/>
      </w:pPr>
      <w:rPr>
        <w:rFonts w:ascii="Symbol" w:hAnsi="Symbol" w:hint="default"/>
        <w:b/>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nsid w:val="5A5822FD"/>
    <w:multiLevelType w:val="hybridMultilevel"/>
    <w:tmpl w:val="F6CCB8A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nsid w:val="5CD775EE"/>
    <w:multiLevelType w:val="hybridMultilevel"/>
    <w:tmpl w:val="EF366D42"/>
    <w:lvl w:ilvl="0" w:tplc="904AD21A">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5E7A38F8"/>
    <w:multiLevelType w:val="hybridMultilevel"/>
    <w:tmpl w:val="882C817C"/>
    <w:lvl w:ilvl="0" w:tplc="904AD21A">
      <w:start w:val="1"/>
      <w:numFmt w:val="bullet"/>
      <w:lvlText w:val="-"/>
      <w:lvlJc w:val="left"/>
      <w:pPr>
        <w:ind w:left="360" w:hanging="360"/>
      </w:pPr>
      <w:rPr>
        <w:rFonts w:ascii="Simplified Arabic Fixed" w:hAnsi="Simplified Arabic Fixed" w:hint="default"/>
      </w:rPr>
    </w:lvl>
    <w:lvl w:ilvl="1" w:tplc="04050003">
      <w:start w:val="1"/>
      <w:numFmt w:val="bullet"/>
      <w:lvlText w:val="o"/>
      <w:lvlJc w:val="left"/>
      <w:pPr>
        <w:ind w:left="1080" w:hanging="360"/>
      </w:pPr>
      <w:rPr>
        <w:rFonts w:ascii="Courier New" w:hAnsi="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hint="default"/>
      </w:rPr>
    </w:lvl>
    <w:lvl w:ilvl="8" w:tplc="04050005">
      <w:start w:val="1"/>
      <w:numFmt w:val="bullet"/>
      <w:lvlText w:val=""/>
      <w:lvlJc w:val="left"/>
      <w:pPr>
        <w:ind w:left="6120" w:hanging="360"/>
      </w:pPr>
      <w:rPr>
        <w:rFonts w:ascii="Wingdings" w:hAnsi="Wingdings" w:hint="default"/>
      </w:rPr>
    </w:lvl>
  </w:abstractNum>
  <w:abstractNum w:abstractNumId="15">
    <w:nsid w:val="756B5B9D"/>
    <w:multiLevelType w:val="hybridMultilevel"/>
    <w:tmpl w:val="6DE8D5B6"/>
    <w:lvl w:ilvl="0" w:tplc="0405000F">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abstractNumId w:val="11"/>
  </w:num>
  <w:num w:numId="2">
    <w:abstractNumId w:val="5"/>
  </w:num>
  <w:num w:numId="3">
    <w:abstractNumId w:val="4"/>
  </w:num>
  <w:num w:numId="4">
    <w:abstractNumId w:val="8"/>
  </w:num>
  <w:num w:numId="5">
    <w:abstractNumId w:val="13"/>
  </w:num>
  <w:num w:numId="6">
    <w:abstractNumId w:val="3"/>
  </w:num>
  <w:num w:numId="7">
    <w:abstractNumId w:val="10"/>
  </w:num>
  <w:num w:numId="8">
    <w:abstractNumId w:val="12"/>
  </w:num>
  <w:num w:numId="9">
    <w:abstractNumId w:val="6"/>
  </w:num>
  <w:num w:numId="10">
    <w:abstractNumId w:val="1"/>
  </w:num>
  <w:num w:numId="11">
    <w:abstractNumId w:val="15"/>
  </w:num>
  <w:num w:numId="12">
    <w:abstractNumId w:val="14"/>
  </w:num>
  <w:num w:numId="13">
    <w:abstractNumId w:val="7"/>
  </w:num>
  <w:num w:numId="14">
    <w:abstractNumId w:val="9"/>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C4"/>
    <w:rsid w:val="00001F67"/>
    <w:rsid w:val="00005CE6"/>
    <w:rsid w:val="0001492B"/>
    <w:rsid w:val="000156AE"/>
    <w:rsid w:val="00016116"/>
    <w:rsid w:val="00017C88"/>
    <w:rsid w:val="00022D89"/>
    <w:rsid w:val="00026106"/>
    <w:rsid w:val="00030791"/>
    <w:rsid w:val="000320E5"/>
    <w:rsid w:val="00033802"/>
    <w:rsid w:val="000366EB"/>
    <w:rsid w:val="00042AD1"/>
    <w:rsid w:val="00044C45"/>
    <w:rsid w:val="000543E8"/>
    <w:rsid w:val="00055FB5"/>
    <w:rsid w:val="000625AD"/>
    <w:rsid w:val="0007339A"/>
    <w:rsid w:val="000821F1"/>
    <w:rsid w:val="00084E69"/>
    <w:rsid w:val="0009014D"/>
    <w:rsid w:val="000A1E24"/>
    <w:rsid w:val="000A4185"/>
    <w:rsid w:val="000A43CF"/>
    <w:rsid w:val="000A5824"/>
    <w:rsid w:val="000B0BEA"/>
    <w:rsid w:val="000B16EB"/>
    <w:rsid w:val="000B1779"/>
    <w:rsid w:val="000C45E5"/>
    <w:rsid w:val="000F0E7B"/>
    <w:rsid w:val="000F2A8D"/>
    <w:rsid w:val="000F4607"/>
    <w:rsid w:val="000F79A5"/>
    <w:rsid w:val="001000E5"/>
    <w:rsid w:val="001056F9"/>
    <w:rsid w:val="00111D7B"/>
    <w:rsid w:val="00113D01"/>
    <w:rsid w:val="001169D7"/>
    <w:rsid w:val="001444FB"/>
    <w:rsid w:val="00144703"/>
    <w:rsid w:val="0014738F"/>
    <w:rsid w:val="00152BF0"/>
    <w:rsid w:val="00181571"/>
    <w:rsid w:val="0018662C"/>
    <w:rsid w:val="001A3540"/>
    <w:rsid w:val="001A7D51"/>
    <w:rsid w:val="001B02E2"/>
    <w:rsid w:val="001B365A"/>
    <w:rsid w:val="001B4593"/>
    <w:rsid w:val="001C1916"/>
    <w:rsid w:val="001C6CC4"/>
    <w:rsid w:val="001C7E96"/>
    <w:rsid w:val="001E6847"/>
    <w:rsid w:val="001F6809"/>
    <w:rsid w:val="001F76B4"/>
    <w:rsid w:val="00200BF5"/>
    <w:rsid w:val="00201196"/>
    <w:rsid w:val="00211C47"/>
    <w:rsid w:val="002123FC"/>
    <w:rsid w:val="00227BEF"/>
    <w:rsid w:val="00231B6D"/>
    <w:rsid w:val="00234E2D"/>
    <w:rsid w:val="00235D0A"/>
    <w:rsid w:val="002404BF"/>
    <w:rsid w:val="00242386"/>
    <w:rsid w:val="00250944"/>
    <w:rsid w:val="0026293C"/>
    <w:rsid w:val="002638BB"/>
    <w:rsid w:val="00263C74"/>
    <w:rsid w:val="0026671D"/>
    <w:rsid w:val="00266721"/>
    <w:rsid w:val="0027393D"/>
    <w:rsid w:val="002808CA"/>
    <w:rsid w:val="00285C9E"/>
    <w:rsid w:val="00291E0E"/>
    <w:rsid w:val="0029666F"/>
    <w:rsid w:val="002B563A"/>
    <w:rsid w:val="002B5729"/>
    <w:rsid w:val="002C0752"/>
    <w:rsid w:val="002C1611"/>
    <w:rsid w:val="002C1637"/>
    <w:rsid w:val="002C3CFA"/>
    <w:rsid w:val="002D148C"/>
    <w:rsid w:val="002D450A"/>
    <w:rsid w:val="002D5D03"/>
    <w:rsid w:val="002E0A47"/>
    <w:rsid w:val="002E0CC8"/>
    <w:rsid w:val="002E64EA"/>
    <w:rsid w:val="00301B4F"/>
    <w:rsid w:val="00302A54"/>
    <w:rsid w:val="00310817"/>
    <w:rsid w:val="00312662"/>
    <w:rsid w:val="003168DC"/>
    <w:rsid w:val="00320F83"/>
    <w:rsid w:val="0032192C"/>
    <w:rsid w:val="00326BC2"/>
    <w:rsid w:val="003339E0"/>
    <w:rsid w:val="003530D3"/>
    <w:rsid w:val="00361486"/>
    <w:rsid w:val="003661CF"/>
    <w:rsid w:val="003665EB"/>
    <w:rsid w:val="003670B1"/>
    <w:rsid w:val="003717D5"/>
    <w:rsid w:val="003726CE"/>
    <w:rsid w:val="003734C5"/>
    <w:rsid w:val="003A05D9"/>
    <w:rsid w:val="003A55B5"/>
    <w:rsid w:val="003C172D"/>
    <w:rsid w:val="003C72FB"/>
    <w:rsid w:val="003C7937"/>
    <w:rsid w:val="003D7AC8"/>
    <w:rsid w:val="003F2195"/>
    <w:rsid w:val="003F406A"/>
    <w:rsid w:val="00400E58"/>
    <w:rsid w:val="0040228F"/>
    <w:rsid w:val="004047FF"/>
    <w:rsid w:val="0040733F"/>
    <w:rsid w:val="004175F3"/>
    <w:rsid w:val="00427AE6"/>
    <w:rsid w:val="0043206B"/>
    <w:rsid w:val="00440208"/>
    <w:rsid w:val="00443C12"/>
    <w:rsid w:val="00443DD9"/>
    <w:rsid w:val="00444E28"/>
    <w:rsid w:val="00454B76"/>
    <w:rsid w:val="00461C12"/>
    <w:rsid w:val="00463A99"/>
    <w:rsid w:val="00467B9A"/>
    <w:rsid w:val="0047432F"/>
    <w:rsid w:val="0049680E"/>
    <w:rsid w:val="00497BB9"/>
    <w:rsid w:val="004A2743"/>
    <w:rsid w:val="004B1CE9"/>
    <w:rsid w:val="004B52FD"/>
    <w:rsid w:val="004B68D7"/>
    <w:rsid w:val="004C37F6"/>
    <w:rsid w:val="004C3CF2"/>
    <w:rsid w:val="004C752C"/>
    <w:rsid w:val="004D2A4B"/>
    <w:rsid w:val="004D59F1"/>
    <w:rsid w:val="004F69B7"/>
    <w:rsid w:val="00500ACE"/>
    <w:rsid w:val="00506AC5"/>
    <w:rsid w:val="0051098F"/>
    <w:rsid w:val="00515C03"/>
    <w:rsid w:val="005162E5"/>
    <w:rsid w:val="005314FE"/>
    <w:rsid w:val="00536B68"/>
    <w:rsid w:val="00537CE1"/>
    <w:rsid w:val="00537D34"/>
    <w:rsid w:val="005448B7"/>
    <w:rsid w:val="005467A9"/>
    <w:rsid w:val="005522EB"/>
    <w:rsid w:val="00561E5E"/>
    <w:rsid w:val="00563D4B"/>
    <w:rsid w:val="00570C66"/>
    <w:rsid w:val="005741C5"/>
    <w:rsid w:val="00577267"/>
    <w:rsid w:val="00577E2B"/>
    <w:rsid w:val="005821F4"/>
    <w:rsid w:val="00590F4B"/>
    <w:rsid w:val="00592554"/>
    <w:rsid w:val="005958F9"/>
    <w:rsid w:val="00597CD2"/>
    <w:rsid w:val="005A3C2D"/>
    <w:rsid w:val="005A4B8D"/>
    <w:rsid w:val="005A5CF5"/>
    <w:rsid w:val="005B3F9D"/>
    <w:rsid w:val="005B3FF8"/>
    <w:rsid w:val="005B7E66"/>
    <w:rsid w:val="005C1350"/>
    <w:rsid w:val="005C2B22"/>
    <w:rsid w:val="005C5C56"/>
    <w:rsid w:val="005D0EBA"/>
    <w:rsid w:val="005E56D2"/>
    <w:rsid w:val="005E6C4A"/>
    <w:rsid w:val="005E7E96"/>
    <w:rsid w:val="005F3973"/>
    <w:rsid w:val="005F6E44"/>
    <w:rsid w:val="005F7D7B"/>
    <w:rsid w:val="006053DD"/>
    <w:rsid w:val="00612B53"/>
    <w:rsid w:val="0061398A"/>
    <w:rsid w:val="006174D6"/>
    <w:rsid w:val="00617D08"/>
    <w:rsid w:val="00626D69"/>
    <w:rsid w:val="006302FE"/>
    <w:rsid w:val="0063515D"/>
    <w:rsid w:val="00641CA8"/>
    <w:rsid w:val="0064562E"/>
    <w:rsid w:val="00667AC4"/>
    <w:rsid w:val="00676B9A"/>
    <w:rsid w:val="00693AA2"/>
    <w:rsid w:val="00694351"/>
    <w:rsid w:val="00696399"/>
    <w:rsid w:val="006C5C91"/>
    <w:rsid w:val="006D012C"/>
    <w:rsid w:val="006D0893"/>
    <w:rsid w:val="006D5F9A"/>
    <w:rsid w:val="006E5834"/>
    <w:rsid w:val="00700334"/>
    <w:rsid w:val="00701672"/>
    <w:rsid w:val="00702441"/>
    <w:rsid w:val="00722DA4"/>
    <w:rsid w:val="0073443C"/>
    <w:rsid w:val="00734B20"/>
    <w:rsid w:val="0074528A"/>
    <w:rsid w:val="0074729D"/>
    <w:rsid w:val="00764F51"/>
    <w:rsid w:val="0076686C"/>
    <w:rsid w:val="007721D0"/>
    <w:rsid w:val="007735EB"/>
    <w:rsid w:val="00785FEC"/>
    <w:rsid w:val="007875AE"/>
    <w:rsid w:val="00793107"/>
    <w:rsid w:val="00793788"/>
    <w:rsid w:val="007967E2"/>
    <w:rsid w:val="007A3479"/>
    <w:rsid w:val="007A4D23"/>
    <w:rsid w:val="007A59B4"/>
    <w:rsid w:val="007B398A"/>
    <w:rsid w:val="007C1376"/>
    <w:rsid w:val="007C1993"/>
    <w:rsid w:val="007C7536"/>
    <w:rsid w:val="007D168F"/>
    <w:rsid w:val="007E2FF3"/>
    <w:rsid w:val="007F57CE"/>
    <w:rsid w:val="007F621F"/>
    <w:rsid w:val="008006EF"/>
    <w:rsid w:val="00811FFD"/>
    <w:rsid w:val="008206D4"/>
    <w:rsid w:val="008309D4"/>
    <w:rsid w:val="00832F58"/>
    <w:rsid w:val="00841D43"/>
    <w:rsid w:val="008463F3"/>
    <w:rsid w:val="008513A3"/>
    <w:rsid w:val="00851788"/>
    <w:rsid w:val="00857404"/>
    <w:rsid w:val="0086180C"/>
    <w:rsid w:val="008724E7"/>
    <w:rsid w:val="00873C9B"/>
    <w:rsid w:val="008771BA"/>
    <w:rsid w:val="00883998"/>
    <w:rsid w:val="00885C2F"/>
    <w:rsid w:val="008B3805"/>
    <w:rsid w:val="008C4912"/>
    <w:rsid w:val="008D46B7"/>
    <w:rsid w:val="008E6EFE"/>
    <w:rsid w:val="008F7718"/>
    <w:rsid w:val="009040F4"/>
    <w:rsid w:val="00906A34"/>
    <w:rsid w:val="009156E9"/>
    <w:rsid w:val="00921BD1"/>
    <w:rsid w:val="00923DF0"/>
    <w:rsid w:val="009246EB"/>
    <w:rsid w:val="00932B9B"/>
    <w:rsid w:val="009359CA"/>
    <w:rsid w:val="00937C2A"/>
    <w:rsid w:val="0094297E"/>
    <w:rsid w:val="00952629"/>
    <w:rsid w:val="00952823"/>
    <w:rsid w:val="00956033"/>
    <w:rsid w:val="00956E3E"/>
    <w:rsid w:val="009571ED"/>
    <w:rsid w:val="00961F6D"/>
    <w:rsid w:val="00964843"/>
    <w:rsid w:val="0096597B"/>
    <w:rsid w:val="00966B27"/>
    <w:rsid w:val="00967565"/>
    <w:rsid w:val="009707A6"/>
    <w:rsid w:val="009805F1"/>
    <w:rsid w:val="009832D9"/>
    <w:rsid w:val="00983CB8"/>
    <w:rsid w:val="009A18BA"/>
    <w:rsid w:val="009A393F"/>
    <w:rsid w:val="009A5662"/>
    <w:rsid w:val="009A74E7"/>
    <w:rsid w:val="009C4354"/>
    <w:rsid w:val="009C72D6"/>
    <w:rsid w:val="009D0ECC"/>
    <w:rsid w:val="009D31F6"/>
    <w:rsid w:val="009D7404"/>
    <w:rsid w:val="009D7D53"/>
    <w:rsid w:val="009E0150"/>
    <w:rsid w:val="009E58D4"/>
    <w:rsid w:val="009E5F4A"/>
    <w:rsid w:val="009F3E11"/>
    <w:rsid w:val="00A34874"/>
    <w:rsid w:val="00A366C4"/>
    <w:rsid w:val="00A40714"/>
    <w:rsid w:val="00A4738D"/>
    <w:rsid w:val="00A500F9"/>
    <w:rsid w:val="00A50309"/>
    <w:rsid w:val="00A53F85"/>
    <w:rsid w:val="00A6740C"/>
    <w:rsid w:val="00A805BB"/>
    <w:rsid w:val="00A91F27"/>
    <w:rsid w:val="00A96537"/>
    <w:rsid w:val="00AA1765"/>
    <w:rsid w:val="00AA2E7B"/>
    <w:rsid w:val="00AB0A62"/>
    <w:rsid w:val="00AC1884"/>
    <w:rsid w:val="00AC4D5A"/>
    <w:rsid w:val="00AE2C4E"/>
    <w:rsid w:val="00AE5789"/>
    <w:rsid w:val="00AE620B"/>
    <w:rsid w:val="00AF2DF3"/>
    <w:rsid w:val="00AF2F27"/>
    <w:rsid w:val="00B0097E"/>
    <w:rsid w:val="00B1543A"/>
    <w:rsid w:val="00B15ABE"/>
    <w:rsid w:val="00B15E02"/>
    <w:rsid w:val="00B209EB"/>
    <w:rsid w:val="00B2187F"/>
    <w:rsid w:val="00B233A3"/>
    <w:rsid w:val="00B25AA5"/>
    <w:rsid w:val="00B37443"/>
    <w:rsid w:val="00B65CB4"/>
    <w:rsid w:val="00B76A5C"/>
    <w:rsid w:val="00B80466"/>
    <w:rsid w:val="00B81719"/>
    <w:rsid w:val="00BA3AE8"/>
    <w:rsid w:val="00BB0CE4"/>
    <w:rsid w:val="00BB2A91"/>
    <w:rsid w:val="00BC0360"/>
    <w:rsid w:val="00BC7811"/>
    <w:rsid w:val="00BC7CEA"/>
    <w:rsid w:val="00BC7EED"/>
    <w:rsid w:val="00BD095D"/>
    <w:rsid w:val="00BD61CF"/>
    <w:rsid w:val="00BE209D"/>
    <w:rsid w:val="00BE3DFD"/>
    <w:rsid w:val="00BE5BEB"/>
    <w:rsid w:val="00C031BE"/>
    <w:rsid w:val="00C10EE6"/>
    <w:rsid w:val="00C126A0"/>
    <w:rsid w:val="00C15497"/>
    <w:rsid w:val="00C159E3"/>
    <w:rsid w:val="00C17DCB"/>
    <w:rsid w:val="00C22B85"/>
    <w:rsid w:val="00C26066"/>
    <w:rsid w:val="00C3035E"/>
    <w:rsid w:val="00C31367"/>
    <w:rsid w:val="00C359D6"/>
    <w:rsid w:val="00C41D09"/>
    <w:rsid w:val="00C43C5B"/>
    <w:rsid w:val="00C45AC4"/>
    <w:rsid w:val="00C51DC2"/>
    <w:rsid w:val="00C52C70"/>
    <w:rsid w:val="00C801C5"/>
    <w:rsid w:val="00C814F5"/>
    <w:rsid w:val="00C835F3"/>
    <w:rsid w:val="00C91AC8"/>
    <w:rsid w:val="00C95C08"/>
    <w:rsid w:val="00C95F82"/>
    <w:rsid w:val="00CA1940"/>
    <w:rsid w:val="00CB6489"/>
    <w:rsid w:val="00CC1D08"/>
    <w:rsid w:val="00CC45AA"/>
    <w:rsid w:val="00CC78F9"/>
    <w:rsid w:val="00CD2FB1"/>
    <w:rsid w:val="00CE3557"/>
    <w:rsid w:val="00D125FB"/>
    <w:rsid w:val="00D239B1"/>
    <w:rsid w:val="00D30EE5"/>
    <w:rsid w:val="00D46838"/>
    <w:rsid w:val="00D51C6C"/>
    <w:rsid w:val="00D56DCA"/>
    <w:rsid w:val="00D80914"/>
    <w:rsid w:val="00D8296D"/>
    <w:rsid w:val="00D833A7"/>
    <w:rsid w:val="00D853B4"/>
    <w:rsid w:val="00D86EFB"/>
    <w:rsid w:val="00D916EE"/>
    <w:rsid w:val="00D95CAA"/>
    <w:rsid w:val="00DA036F"/>
    <w:rsid w:val="00DC00EE"/>
    <w:rsid w:val="00DC1506"/>
    <w:rsid w:val="00DD0785"/>
    <w:rsid w:val="00DE4D21"/>
    <w:rsid w:val="00DE6BD0"/>
    <w:rsid w:val="00DE71CF"/>
    <w:rsid w:val="00DF065B"/>
    <w:rsid w:val="00DF6706"/>
    <w:rsid w:val="00E02593"/>
    <w:rsid w:val="00E076AA"/>
    <w:rsid w:val="00E07F45"/>
    <w:rsid w:val="00E10326"/>
    <w:rsid w:val="00E13A70"/>
    <w:rsid w:val="00E208AE"/>
    <w:rsid w:val="00E252EE"/>
    <w:rsid w:val="00E254B1"/>
    <w:rsid w:val="00E26309"/>
    <w:rsid w:val="00E331F2"/>
    <w:rsid w:val="00E40752"/>
    <w:rsid w:val="00E44413"/>
    <w:rsid w:val="00E46E81"/>
    <w:rsid w:val="00E55D59"/>
    <w:rsid w:val="00E6498D"/>
    <w:rsid w:val="00E65205"/>
    <w:rsid w:val="00E7531B"/>
    <w:rsid w:val="00E75400"/>
    <w:rsid w:val="00E77CDE"/>
    <w:rsid w:val="00E87D0A"/>
    <w:rsid w:val="00E929B8"/>
    <w:rsid w:val="00EA23CF"/>
    <w:rsid w:val="00EA6CAB"/>
    <w:rsid w:val="00EB0F69"/>
    <w:rsid w:val="00EB2510"/>
    <w:rsid w:val="00EB5B42"/>
    <w:rsid w:val="00EB5F66"/>
    <w:rsid w:val="00EC1209"/>
    <w:rsid w:val="00EC5BB4"/>
    <w:rsid w:val="00ED0388"/>
    <w:rsid w:val="00ED5ABE"/>
    <w:rsid w:val="00ED6782"/>
    <w:rsid w:val="00EF0902"/>
    <w:rsid w:val="00EF1863"/>
    <w:rsid w:val="00EF22F3"/>
    <w:rsid w:val="00EF3FEB"/>
    <w:rsid w:val="00EF5D3B"/>
    <w:rsid w:val="00F02CC6"/>
    <w:rsid w:val="00F06D0C"/>
    <w:rsid w:val="00F070E5"/>
    <w:rsid w:val="00F11348"/>
    <w:rsid w:val="00F2043C"/>
    <w:rsid w:val="00F268A7"/>
    <w:rsid w:val="00F31891"/>
    <w:rsid w:val="00F340BF"/>
    <w:rsid w:val="00F422C0"/>
    <w:rsid w:val="00F44723"/>
    <w:rsid w:val="00F501CD"/>
    <w:rsid w:val="00F563C3"/>
    <w:rsid w:val="00F67A67"/>
    <w:rsid w:val="00F74BBB"/>
    <w:rsid w:val="00F829B9"/>
    <w:rsid w:val="00FA56F0"/>
    <w:rsid w:val="00FA6D03"/>
    <w:rsid w:val="00FB17A1"/>
    <w:rsid w:val="00FB2E28"/>
    <w:rsid w:val="00FC7144"/>
    <w:rsid w:val="00FD12BD"/>
    <w:rsid w:val="00FD37C5"/>
    <w:rsid w:val="00FE0D39"/>
    <w:rsid w:val="00FE272D"/>
    <w:rsid w:val="00FE7295"/>
    <w:rsid w:val="00FF13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9A5662"/>
    <w:rPr>
      <w:rFonts w:ascii="Tahoma" w:hAnsi="Tahoma" w:cs="Tahoma"/>
      <w:sz w:val="16"/>
      <w:szCs w:val="16"/>
      <w:lang w:eastAsia="cs-CZ"/>
    </w:rPr>
  </w:style>
  <w:style w:type="paragraph" w:styleId="Zhlav">
    <w:name w:val="header"/>
    <w:basedOn w:val="Normln"/>
    <w:link w:val="ZhlavChar"/>
    <w:uiPriority w:val="99"/>
    <w:rsid w:val="00242386"/>
    <w:pPr>
      <w:tabs>
        <w:tab w:val="center" w:pos="4536"/>
        <w:tab w:val="right" w:pos="9072"/>
      </w:tabs>
    </w:pPr>
  </w:style>
  <w:style w:type="character" w:customStyle="1" w:styleId="ZhlavChar">
    <w:name w:val="Záhlaví Char"/>
    <w:basedOn w:val="Standardnpsmoodstavce"/>
    <w:link w:val="Zhlav"/>
    <w:uiPriority w:val="99"/>
    <w:locked/>
    <w:rsid w:val="00242386"/>
    <w:rPr>
      <w:rFonts w:ascii="Times New Roman" w:hAnsi="Times New Roman" w:cs="Times New Roman"/>
      <w:sz w:val="24"/>
      <w:szCs w:val="24"/>
      <w:lang w:eastAsia="cs-CZ"/>
    </w:rPr>
  </w:style>
  <w:style w:type="paragraph" w:styleId="Zpat">
    <w:name w:val="footer"/>
    <w:basedOn w:val="Normln"/>
    <w:link w:val="ZpatChar"/>
    <w:uiPriority w:val="99"/>
    <w:rsid w:val="00242386"/>
    <w:pPr>
      <w:tabs>
        <w:tab w:val="center" w:pos="4536"/>
        <w:tab w:val="right" w:pos="9072"/>
      </w:tabs>
    </w:pPr>
  </w:style>
  <w:style w:type="character" w:customStyle="1" w:styleId="ZpatChar">
    <w:name w:val="Zápatí Char"/>
    <w:basedOn w:val="Standardnpsmoodstavce"/>
    <w:link w:val="Zpat"/>
    <w:uiPriority w:val="99"/>
    <w:locked/>
    <w:rsid w:val="00242386"/>
    <w:rPr>
      <w:rFonts w:ascii="Times New Roman" w:hAnsi="Times New Roman" w:cs="Times New Roman"/>
      <w:sz w:val="24"/>
      <w:szCs w:val="24"/>
      <w:lang w:eastAsia="cs-CZ"/>
    </w:rPr>
  </w:style>
  <w:style w:type="paragraph" w:styleId="Podtitul">
    <w:name w:val="Subtitle"/>
    <w:basedOn w:val="Normln"/>
    <w:next w:val="Normln"/>
    <w:link w:val="PodtitulChar"/>
    <w:uiPriority w:val="99"/>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99"/>
    <w:locked/>
    <w:rsid w:val="00242386"/>
    <w:rPr>
      <w:rFonts w:ascii="Cambria" w:hAnsi="Cambria" w:cs="Times New Roman"/>
      <w:sz w:val="24"/>
      <w:szCs w:val="24"/>
      <w:lang w:eastAsia="cs-CZ"/>
    </w:rPr>
  </w:style>
  <w:style w:type="paragraph" w:customStyle="1" w:styleId="Popisky">
    <w:name w:val="Popisky"/>
    <w:basedOn w:val="Normln"/>
    <w:uiPriority w:val="99"/>
    <w:rsid w:val="00C126A0"/>
    <w:rPr>
      <w:rFonts w:ascii="Arial" w:eastAsia="Calibri" w:hAnsi="Arial" w:cs="Arial"/>
      <w:sz w:val="20"/>
      <w:szCs w:val="20"/>
    </w:rPr>
  </w:style>
  <w:style w:type="paragraph" w:customStyle="1" w:styleId="Default">
    <w:name w:val="Default"/>
    <w:uiPriority w:val="99"/>
    <w:rsid w:val="00C126A0"/>
    <w:pPr>
      <w:autoSpaceDE w:val="0"/>
      <w:autoSpaceDN w:val="0"/>
      <w:adjustRightInd w:val="0"/>
    </w:pPr>
    <w:rPr>
      <w:rFonts w:cs="Calibri"/>
      <w:color w:val="000000"/>
      <w:sz w:val="24"/>
      <w:szCs w:val="24"/>
      <w:lang w:eastAsia="en-US"/>
    </w:rPr>
  </w:style>
  <w:style w:type="paragraph" w:styleId="Zkladntext2">
    <w:name w:val="Body Text 2"/>
    <w:basedOn w:val="Normln"/>
    <w:link w:val="Zkladntext2Char"/>
    <w:uiPriority w:val="99"/>
    <w:rsid w:val="00E6498D"/>
    <w:pPr>
      <w:jc w:val="center"/>
    </w:pPr>
    <w:rPr>
      <w:b/>
      <w:bCs/>
      <w:sz w:val="28"/>
      <w:szCs w:val="20"/>
    </w:rPr>
  </w:style>
  <w:style w:type="character" w:customStyle="1" w:styleId="Zkladntext2Char">
    <w:name w:val="Základní text 2 Char"/>
    <w:basedOn w:val="Standardnpsmoodstavce"/>
    <w:link w:val="Zkladntext2"/>
    <w:uiPriority w:val="99"/>
    <w:locked/>
    <w:rsid w:val="00E6498D"/>
    <w:rPr>
      <w:rFonts w:ascii="Times New Roman" w:hAnsi="Times New Roman" w:cs="Times New Roman"/>
      <w:b/>
      <w:bCs/>
      <w:sz w:val="20"/>
      <w:szCs w:val="20"/>
      <w:lang w:eastAsia="cs-CZ"/>
    </w:rPr>
  </w:style>
  <w:style w:type="paragraph" w:styleId="Normlnweb">
    <w:name w:val="Normal (Web)"/>
    <w:basedOn w:val="Normln"/>
    <w:uiPriority w:val="99"/>
    <w:semiHidden/>
    <w:rsid w:val="00D853B4"/>
    <w:pPr>
      <w:spacing w:before="100" w:beforeAutospacing="1" w:after="100" w:afterAutospacing="1"/>
    </w:pPr>
  </w:style>
  <w:style w:type="paragraph" w:styleId="Odstavecseseznamem">
    <w:name w:val="List Paragraph"/>
    <w:basedOn w:val="Normln"/>
    <w:uiPriority w:val="99"/>
    <w:qFormat/>
    <w:rsid w:val="00C95F82"/>
    <w:pPr>
      <w:ind w:left="720"/>
      <w:contextualSpacing/>
    </w:pPr>
    <w:rPr>
      <w:lang w:eastAsia="en-US"/>
    </w:rPr>
  </w:style>
  <w:style w:type="table" w:styleId="Mkatabulky">
    <w:name w:val="Table Grid"/>
    <w:basedOn w:val="Normlntabulka"/>
    <w:uiPriority w:val="99"/>
    <w:rsid w:val="00C313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301B4F"/>
    <w:rPr>
      <w:rFonts w:cs="Times New Roman"/>
      <w:sz w:val="16"/>
      <w:szCs w:val="16"/>
    </w:rPr>
  </w:style>
  <w:style w:type="paragraph" w:styleId="Textkomente">
    <w:name w:val="annotation text"/>
    <w:basedOn w:val="Normln"/>
    <w:link w:val="TextkomenteChar"/>
    <w:uiPriority w:val="99"/>
    <w:semiHidden/>
    <w:rsid w:val="00301B4F"/>
    <w:rPr>
      <w:sz w:val="20"/>
      <w:szCs w:val="20"/>
    </w:rPr>
  </w:style>
  <w:style w:type="character" w:customStyle="1" w:styleId="TextkomenteChar">
    <w:name w:val="Text komentáře Char"/>
    <w:basedOn w:val="Standardnpsmoodstavce"/>
    <w:link w:val="Textkomente"/>
    <w:uiPriority w:val="99"/>
    <w:semiHidden/>
    <w:locked/>
    <w:rsid w:val="00301B4F"/>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301B4F"/>
    <w:rPr>
      <w:b/>
      <w:bCs/>
    </w:rPr>
  </w:style>
  <w:style w:type="character" w:customStyle="1" w:styleId="PedmtkomenteChar">
    <w:name w:val="Předmět komentáře Char"/>
    <w:basedOn w:val="TextkomenteChar"/>
    <w:link w:val="Pedmtkomente"/>
    <w:uiPriority w:val="99"/>
    <w:semiHidden/>
    <w:locked/>
    <w:rsid w:val="00301B4F"/>
    <w:rPr>
      <w:rFonts w:ascii="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rsid w:val="00AB0A62"/>
    <w:pPr>
      <w:spacing w:after="120"/>
    </w:pPr>
  </w:style>
  <w:style w:type="character" w:customStyle="1" w:styleId="ZkladntextChar">
    <w:name w:val="Základní text Char"/>
    <w:basedOn w:val="Standardnpsmoodstavce"/>
    <w:link w:val="Zkladntext"/>
    <w:uiPriority w:val="99"/>
    <w:semiHidden/>
    <w:locked/>
    <w:rsid w:val="00AB0A62"/>
    <w:rPr>
      <w:rFonts w:ascii="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rsid w:val="004D59F1"/>
    <w:rPr>
      <w:rFonts w:ascii="Calibri" w:eastAsia="Calibri" w:hAnsi="Calibri"/>
      <w:sz w:val="22"/>
      <w:szCs w:val="21"/>
      <w:lang w:eastAsia="en-US"/>
    </w:rPr>
  </w:style>
  <w:style w:type="character" w:customStyle="1" w:styleId="ProsttextChar">
    <w:name w:val="Prostý text Char"/>
    <w:basedOn w:val="Standardnpsmoodstavce"/>
    <w:link w:val="Prosttext"/>
    <w:uiPriority w:val="99"/>
    <w:semiHidden/>
    <w:locked/>
    <w:rsid w:val="004D59F1"/>
    <w:rPr>
      <w:rFonts w:ascii="Calibri" w:hAnsi="Calibri" w:cs="Times New Roman"/>
      <w:sz w:val="21"/>
      <w:szCs w:val="21"/>
    </w:rPr>
  </w:style>
  <w:style w:type="character" w:styleId="Siln">
    <w:name w:val="Strong"/>
    <w:basedOn w:val="Standardnpsmoodstavce"/>
    <w:uiPriority w:val="99"/>
    <w:qFormat/>
    <w:rsid w:val="002E64EA"/>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9A5662"/>
    <w:rPr>
      <w:rFonts w:ascii="Tahoma" w:hAnsi="Tahoma" w:cs="Tahoma"/>
      <w:sz w:val="16"/>
      <w:szCs w:val="16"/>
      <w:lang w:eastAsia="cs-CZ"/>
    </w:rPr>
  </w:style>
  <w:style w:type="paragraph" w:styleId="Zhlav">
    <w:name w:val="header"/>
    <w:basedOn w:val="Normln"/>
    <w:link w:val="ZhlavChar"/>
    <w:uiPriority w:val="99"/>
    <w:rsid w:val="00242386"/>
    <w:pPr>
      <w:tabs>
        <w:tab w:val="center" w:pos="4536"/>
        <w:tab w:val="right" w:pos="9072"/>
      </w:tabs>
    </w:pPr>
  </w:style>
  <w:style w:type="character" w:customStyle="1" w:styleId="ZhlavChar">
    <w:name w:val="Záhlaví Char"/>
    <w:basedOn w:val="Standardnpsmoodstavce"/>
    <w:link w:val="Zhlav"/>
    <w:uiPriority w:val="99"/>
    <w:locked/>
    <w:rsid w:val="00242386"/>
    <w:rPr>
      <w:rFonts w:ascii="Times New Roman" w:hAnsi="Times New Roman" w:cs="Times New Roman"/>
      <w:sz w:val="24"/>
      <w:szCs w:val="24"/>
      <w:lang w:eastAsia="cs-CZ"/>
    </w:rPr>
  </w:style>
  <w:style w:type="paragraph" w:styleId="Zpat">
    <w:name w:val="footer"/>
    <w:basedOn w:val="Normln"/>
    <w:link w:val="ZpatChar"/>
    <w:uiPriority w:val="99"/>
    <w:rsid w:val="00242386"/>
    <w:pPr>
      <w:tabs>
        <w:tab w:val="center" w:pos="4536"/>
        <w:tab w:val="right" w:pos="9072"/>
      </w:tabs>
    </w:pPr>
  </w:style>
  <w:style w:type="character" w:customStyle="1" w:styleId="ZpatChar">
    <w:name w:val="Zápatí Char"/>
    <w:basedOn w:val="Standardnpsmoodstavce"/>
    <w:link w:val="Zpat"/>
    <w:uiPriority w:val="99"/>
    <w:locked/>
    <w:rsid w:val="00242386"/>
    <w:rPr>
      <w:rFonts w:ascii="Times New Roman" w:hAnsi="Times New Roman" w:cs="Times New Roman"/>
      <w:sz w:val="24"/>
      <w:szCs w:val="24"/>
      <w:lang w:eastAsia="cs-CZ"/>
    </w:rPr>
  </w:style>
  <w:style w:type="paragraph" w:styleId="Podtitul">
    <w:name w:val="Subtitle"/>
    <w:basedOn w:val="Normln"/>
    <w:next w:val="Normln"/>
    <w:link w:val="PodtitulChar"/>
    <w:uiPriority w:val="99"/>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99"/>
    <w:locked/>
    <w:rsid w:val="00242386"/>
    <w:rPr>
      <w:rFonts w:ascii="Cambria" w:hAnsi="Cambria" w:cs="Times New Roman"/>
      <w:sz w:val="24"/>
      <w:szCs w:val="24"/>
      <w:lang w:eastAsia="cs-CZ"/>
    </w:rPr>
  </w:style>
  <w:style w:type="paragraph" w:customStyle="1" w:styleId="Popisky">
    <w:name w:val="Popisky"/>
    <w:basedOn w:val="Normln"/>
    <w:uiPriority w:val="99"/>
    <w:rsid w:val="00C126A0"/>
    <w:rPr>
      <w:rFonts w:ascii="Arial" w:eastAsia="Calibri" w:hAnsi="Arial" w:cs="Arial"/>
      <w:sz w:val="20"/>
      <w:szCs w:val="20"/>
    </w:rPr>
  </w:style>
  <w:style w:type="paragraph" w:customStyle="1" w:styleId="Default">
    <w:name w:val="Default"/>
    <w:uiPriority w:val="99"/>
    <w:rsid w:val="00C126A0"/>
    <w:pPr>
      <w:autoSpaceDE w:val="0"/>
      <w:autoSpaceDN w:val="0"/>
      <w:adjustRightInd w:val="0"/>
    </w:pPr>
    <w:rPr>
      <w:rFonts w:cs="Calibri"/>
      <w:color w:val="000000"/>
      <w:sz w:val="24"/>
      <w:szCs w:val="24"/>
      <w:lang w:eastAsia="en-US"/>
    </w:rPr>
  </w:style>
  <w:style w:type="paragraph" w:styleId="Zkladntext2">
    <w:name w:val="Body Text 2"/>
    <w:basedOn w:val="Normln"/>
    <w:link w:val="Zkladntext2Char"/>
    <w:uiPriority w:val="99"/>
    <w:rsid w:val="00E6498D"/>
    <w:pPr>
      <w:jc w:val="center"/>
    </w:pPr>
    <w:rPr>
      <w:b/>
      <w:bCs/>
      <w:sz w:val="28"/>
      <w:szCs w:val="20"/>
    </w:rPr>
  </w:style>
  <w:style w:type="character" w:customStyle="1" w:styleId="Zkladntext2Char">
    <w:name w:val="Základní text 2 Char"/>
    <w:basedOn w:val="Standardnpsmoodstavce"/>
    <w:link w:val="Zkladntext2"/>
    <w:uiPriority w:val="99"/>
    <w:locked/>
    <w:rsid w:val="00E6498D"/>
    <w:rPr>
      <w:rFonts w:ascii="Times New Roman" w:hAnsi="Times New Roman" w:cs="Times New Roman"/>
      <w:b/>
      <w:bCs/>
      <w:sz w:val="20"/>
      <w:szCs w:val="20"/>
      <w:lang w:eastAsia="cs-CZ"/>
    </w:rPr>
  </w:style>
  <w:style w:type="paragraph" w:styleId="Normlnweb">
    <w:name w:val="Normal (Web)"/>
    <w:basedOn w:val="Normln"/>
    <w:uiPriority w:val="99"/>
    <w:semiHidden/>
    <w:rsid w:val="00D853B4"/>
    <w:pPr>
      <w:spacing w:before="100" w:beforeAutospacing="1" w:after="100" w:afterAutospacing="1"/>
    </w:pPr>
  </w:style>
  <w:style w:type="paragraph" w:styleId="Odstavecseseznamem">
    <w:name w:val="List Paragraph"/>
    <w:basedOn w:val="Normln"/>
    <w:uiPriority w:val="99"/>
    <w:qFormat/>
    <w:rsid w:val="00C95F82"/>
    <w:pPr>
      <w:ind w:left="720"/>
      <w:contextualSpacing/>
    </w:pPr>
    <w:rPr>
      <w:lang w:eastAsia="en-US"/>
    </w:rPr>
  </w:style>
  <w:style w:type="table" w:styleId="Mkatabulky">
    <w:name w:val="Table Grid"/>
    <w:basedOn w:val="Normlntabulka"/>
    <w:uiPriority w:val="99"/>
    <w:rsid w:val="00C313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301B4F"/>
    <w:rPr>
      <w:rFonts w:cs="Times New Roman"/>
      <w:sz w:val="16"/>
      <w:szCs w:val="16"/>
    </w:rPr>
  </w:style>
  <w:style w:type="paragraph" w:styleId="Textkomente">
    <w:name w:val="annotation text"/>
    <w:basedOn w:val="Normln"/>
    <w:link w:val="TextkomenteChar"/>
    <w:uiPriority w:val="99"/>
    <w:semiHidden/>
    <w:rsid w:val="00301B4F"/>
    <w:rPr>
      <w:sz w:val="20"/>
      <w:szCs w:val="20"/>
    </w:rPr>
  </w:style>
  <w:style w:type="character" w:customStyle="1" w:styleId="TextkomenteChar">
    <w:name w:val="Text komentáře Char"/>
    <w:basedOn w:val="Standardnpsmoodstavce"/>
    <w:link w:val="Textkomente"/>
    <w:uiPriority w:val="99"/>
    <w:semiHidden/>
    <w:locked/>
    <w:rsid w:val="00301B4F"/>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301B4F"/>
    <w:rPr>
      <w:b/>
      <w:bCs/>
    </w:rPr>
  </w:style>
  <w:style w:type="character" w:customStyle="1" w:styleId="PedmtkomenteChar">
    <w:name w:val="Předmět komentáře Char"/>
    <w:basedOn w:val="TextkomenteChar"/>
    <w:link w:val="Pedmtkomente"/>
    <w:uiPriority w:val="99"/>
    <w:semiHidden/>
    <w:locked/>
    <w:rsid w:val="00301B4F"/>
    <w:rPr>
      <w:rFonts w:ascii="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rsid w:val="00AB0A62"/>
    <w:pPr>
      <w:spacing w:after="120"/>
    </w:pPr>
  </w:style>
  <w:style w:type="character" w:customStyle="1" w:styleId="ZkladntextChar">
    <w:name w:val="Základní text Char"/>
    <w:basedOn w:val="Standardnpsmoodstavce"/>
    <w:link w:val="Zkladntext"/>
    <w:uiPriority w:val="99"/>
    <w:semiHidden/>
    <w:locked/>
    <w:rsid w:val="00AB0A62"/>
    <w:rPr>
      <w:rFonts w:ascii="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rsid w:val="004D59F1"/>
    <w:rPr>
      <w:rFonts w:ascii="Calibri" w:eastAsia="Calibri" w:hAnsi="Calibri"/>
      <w:sz w:val="22"/>
      <w:szCs w:val="21"/>
      <w:lang w:eastAsia="en-US"/>
    </w:rPr>
  </w:style>
  <w:style w:type="character" w:customStyle="1" w:styleId="ProsttextChar">
    <w:name w:val="Prostý text Char"/>
    <w:basedOn w:val="Standardnpsmoodstavce"/>
    <w:link w:val="Prosttext"/>
    <w:uiPriority w:val="99"/>
    <w:semiHidden/>
    <w:locked/>
    <w:rsid w:val="004D59F1"/>
    <w:rPr>
      <w:rFonts w:ascii="Calibri" w:hAnsi="Calibri" w:cs="Times New Roman"/>
      <w:sz w:val="21"/>
      <w:szCs w:val="21"/>
    </w:rPr>
  </w:style>
  <w:style w:type="character" w:styleId="Siln">
    <w:name w:val="Strong"/>
    <w:basedOn w:val="Standardnpsmoodstavce"/>
    <w:uiPriority w:val="99"/>
    <w:qFormat/>
    <w:rsid w:val="002E64EA"/>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99277">
      <w:bodyDiv w:val="1"/>
      <w:marLeft w:val="0"/>
      <w:marRight w:val="0"/>
      <w:marTop w:val="0"/>
      <w:marBottom w:val="0"/>
      <w:divBdr>
        <w:top w:val="none" w:sz="0" w:space="0" w:color="auto"/>
        <w:left w:val="none" w:sz="0" w:space="0" w:color="auto"/>
        <w:bottom w:val="none" w:sz="0" w:space="0" w:color="auto"/>
        <w:right w:val="none" w:sz="0" w:space="0" w:color="auto"/>
      </w:divBdr>
    </w:div>
    <w:div w:id="1329334470">
      <w:marLeft w:val="0"/>
      <w:marRight w:val="0"/>
      <w:marTop w:val="0"/>
      <w:marBottom w:val="0"/>
      <w:divBdr>
        <w:top w:val="none" w:sz="0" w:space="0" w:color="auto"/>
        <w:left w:val="none" w:sz="0" w:space="0" w:color="auto"/>
        <w:bottom w:val="none" w:sz="0" w:space="0" w:color="auto"/>
        <w:right w:val="none" w:sz="0" w:space="0" w:color="auto"/>
      </w:divBdr>
    </w:div>
    <w:div w:id="1329334471">
      <w:marLeft w:val="0"/>
      <w:marRight w:val="0"/>
      <w:marTop w:val="0"/>
      <w:marBottom w:val="0"/>
      <w:divBdr>
        <w:top w:val="none" w:sz="0" w:space="0" w:color="auto"/>
        <w:left w:val="none" w:sz="0" w:space="0" w:color="auto"/>
        <w:bottom w:val="none" w:sz="0" w:space="0" w:color="auto"/>
        <w:right w:val="none" w:sz="0" w:space="0" w:color="auto"/>
      </w:divBdr>
    </w:div>
    <w:div w:id="1329334472">
      <w:marLeft w:val="0"/>
      <w:marRight w:val="0"/>
      <w:marTop w:val="0"/>
      <w:marBottom w:val="0"/>
      <w:divBdr>
        <w:top w:val="none" w:sz="0" w:space="0" w:color="auto"/>
        <w:left w:val="none" w:sz="0" w:space="0" w:color="auto"/>
        <w:bottom w:val="none" w:sz="0" w:space="0" w:color="auto"/>
        <w:right w:val="none" w:sz="0" w:space="0" w:color="auto"/>
      </w:divBdr>
    </w:div>
    <w:div w:id="1329334473">
      <w:marLeft w:val="0"/>
      <w:marRight w:val="0"/>
      <w:marTop w:val="0"/>
      <w:marBottom w:val="0"/>
      <w:divBdr>
        <w:top w:val="none" w:sz="0" w:space="0" w:color="auto"/>
        <w:left w:val="none" w:sz="0" w:space="0" w:color="auto"/>
        <w:bottom w:val="none" w:sz="0" w:space="0" w:color="auto"/>
        <w:right w:val="none" w:sz="0" w:space="0" w:color="auto"/>
      </w:divBdr>
    </w:div>
    <w:div w:id="1329334474">
      <w:marLeft w:val="0"/>
      <w:marRight w:val="0"/>
      <w:marTop w:val="0"/>
      <w:marBottom w:val="0"/>
      <w:divBdr>
        <w:top w:val="none" w:sz="0" w:space="0" w:color="auto"/>
        <w:left w:val="none" w:sz="0" w:space="0" w:color="auto"/>
        <w:bottom w:val="none" w:sz="0" w:space="0" w:color="auto"/>
        <w:right w:val="none" w:sz="0" w:space="0" w:color="auto"/>
      </w:divBdr>
    </w:div>
    <w:div w:id="1329334475">
      <w:marLeft w:val="0"/>
      <w:marRight w:val="0"/>
      <w:marTop w:val="0"/>
      <w:marBottom w:val="0"/>
      <w:divBdr>
        <w:top w:val="none" w:sz="0" w:space="0" w:color="auto"/>
        <w:left w:val="none" w:sz="0" w:space="0" w:color="auto"/>
        <w:bottom w:val="none" w:sz="0" w:space="0" w:color="auto"/>
        <w:right w:val="none" w:sz="0" w:space="0" w:color="auto"/>
      </w:divBdr>
    </w:div>
    <w:div w:id="1329334476">
      <w:marLeft w:val="0"/>
      <w:marRight w:val="0"/>
      <w:marTop w:val="0"/>
      <w:marBottom w:val="0"/>
      <w:divBdr>
        <w:top w:val="none" w:sz="0" w:space="0" w:color="auto"/>
        <w:left w:val="none" w:sz="0" w:space="0" w:color="auto"/>
        <w:bottom w:val="none" w:sz="0" w:space="0" w:color="auto"/>
        <w:right w:val="none" w:sz="0" w:space="0" w:color="auto"/>
      </w:divBdr>
    </w:div>
    <w:div w:id="1329334477">
      <w:marLeft w:val="0"/>
      <w:marRight w:val="0"/>
      <w:marTop w:val="0"/>
      <w:marBottom w:val="0"/>
      <w:divBdr>
        <w:top w:val="none" w:sz="0" w:space="0" w:color="auto"/>
        <w:left w:val="none" w:sz="0" w:space="0" w:color="auto"/>
        <w:bottom w:val="none" w:sz="0" w:space="0" w:color="auto"/>
        <w:right w:val="none" w:sz="0" w:space="0" w:color="auto"/>
      </w:divBdr>
    </w:div>
    <w:div w:id="1329334478">
      <w:marLeft w:val="0"/>
      <w:marRight w:val="0"/>
      <w:marTop w:val="0"/>
      <w:marBottom w:val="0"/>
      <w:divBdr>
        <w:top w:val="none" w:sz="0" w:space="0" w:color="auto"/>
        <w:left w:val="none" w:sz="0" w:space="0" w:color="auto"/>
        <w:bottom w:val="none" w:sz="0" w:space="0" w:color="auto"/>
        <w:right w:val="none" w:sz="0" w:space="0" w:color="auto"/>
      </w:divBdr>
    </w:div>
    <w:div w:id="1329334479">
      <w:marLeft w:val="0"/>
      <w:marRight w:val="0"/>
      <w:marTop w:val="0"/>
      <w:marBottom w:val="0"/>
      <w:divBdr>
        <w:top w:val="none" w:sz="0" w:space="0" w:color="auto"/>
        <w:left w:val="none" w:sz="0" w:space="0" w:color="auto"/>
        <w:bottom w:val="none" w:sz="0" w:space="0" w:color="auto"/>
        <w:right w:val="none" w:sz="0" w:space="0" w:color="auto"/>
      </w:divBdr>
    </w:div>
    <w:div w:id="1329334480">
      <w:marLeft w:val="0"/>
      <w:marRight w:val="0"/>
      <w:marTop w:val="0"/>
      <w:marBottom w:val="0"/>
      <w:divBdr>
        <w:top w:val="none" w:sz="0" w:space="0" w:color="auto"/>
        <w:left w:val="none" w:sz="0" w:space="0" w:color="auto"/>
        <w:bottom w:val="none" w:sz="0" w:space="0" w:color="auto"/>
        <w:right w:val="none" w:sz="0" w:space="0" w:color="auto"/>
      </w:divBdr>
    </w:div>
    <w:div w:id="1329334481">
      <w:marLeft w:val="0"/>
      <w:marRight w:val="0"/>
      <w:marTop w:val="0"/>
      <w:marBottom w:val="0"/>
      <w:divBdr>
        <w:top w:val="none" w:sz="0" w:space="0" w:color="auto"/>
        <w:left w:val="none" w:sz="0" w:space="0" w:color="auto"/>
        <w:bottom w:val="none" w:sz="0" w:space="0" w:color="auto"/>
        <w:right w:val="none" w:sz="0" w:space="0" w:color="auto"/>
      </w:divBdr>
    </w:div>
    <w:div w:id="1329334482">
      <w:marLeft w:val="0"/>
      <w:marRight w:val="0"/>
      <w:marTop w:val="0"/>
      <w:marBottom w:val="0"/>
      <w:divBdr>
        <w:top w:val="none" w:sz="0" w:space="0" w:color="auto"/>
        <w:left w:val="none" w:sz="0" w:space="0" w:color="auto"/>
        <w:bottom w:val="none" w:sz="0" w:space="0" w:color="auto"/>
        <w:right w:val="none" w:sz="0" w:space="0" w:color="auto"/>
      </w:divBdr>
    </w:div>
    <w:div w:id="1329334483">
      <w:marLeft w:val="0"/>
      <w:marRight w:val="0"/>
      <w:marTop w:val="0"/>
      <w:marBottom w:val="0"/>
      <w:divBdr>
        <w:top w:val="none" w:sz="0" w:space="0" w:color="auto"/>
        <w:left w:val="none" w:sz="0" w:space="0" w:color="auto"/>
        <w:bottom w:val="none" w:sz="0" w:space="0" w:color="auto"/>
        <w:right w:val="none" w:sz="0" w:space="0" w:color="auto"/>
      </w:divBdr>
    </w:div>
    <w:div w:id="1329334484">
      <w:marLeft w:val="0"/>
      <w:marRight w:val="0"/>
      <w:marTop w:val="0"/>
      <w:marBottom w:val="0"/>
      <w:divBdr>
        <w:top w:val="none" w:sz="0" w:space="0" w:color="auto"/>
        <w:left w:val="none" w:sz="0" w:space="0" w:color="auto"/>
        <w:bottom w:val="none" w:sz="0" w:space="0" w:color="auto"/>
        <w:right w:val="none" w:sz="0" w:space="0" w:color="auto"/>
      </w:divBdr>
    </w:div>
    <w:div w:id="1329334485">
      <w:marLeft w:val="0"/>
      <w:marRight w:val="0"/>
      <w:marTop w:val="0"/>
      <w:marBottom w:val="0"/>
      <w:divBdr>
        <w:top w:val="none" w:sz="0" w:space="0" w:color="auto"/>
        <w:left w:val="none" w:sz="0" w:space="0" w:color="auto"/>
        <w:bottom w:val="none" w:sz="0" w:space="0" w:color="auto"/>
        <w:right w:val="none" w:sz="0" w:space="0" w:color="auto"/>
      </w:divBdr>
    </w:div>
    <w:div w:id="1329334486">
      <w:marLeft w:val="0"/>
      <w:marRight w:val="0"/>
      <w:marTop w:val="0"/>
      <w:marBottom w:val="0"/>
      <w:divBdr>
        <w:top w:val="none" w:sz="0" w:space="0" w:color="auto"/>
        <w:left w:val="none" w:sz="0" w:space="0" w:color="auto"/>
        <w:bottom w:val="none" w:sz="0" w:space="0" w:color="auto"/>
        <w:right w:val="none" w:sz="0" w:space="0" w:color="auto"/>
      </w:divBdr>
    </w:div>
    <w:div w:id="1329334487">
      <w:marLeft w:val="0"/>
      <w:marRight w:val="0"/>
      <w:marTop w:val="0"/>
      <w:marBottom w:val="0"/>
      <w:divBdr>
        <w:top w:val="none" w:sz="0" w:space="0" w:color="auto"/>
        <w:left w:val="none" w:sz="0" w:space="0" w:color="auto"/>
        <w:bottom w:val="none" w:sz="0" w:space="0" w:color="auto"/>
        <w:right w:val="none" w:sz="0" w:space="0" w:color="auto"/>
      </w:divBdr>
    </w:div>
    <w:div w:id="1329334488">
      <w:marLeft w:val="0"/>
      <w:marRight w:val="0"/>
      <w:marTop w:val="0"/>
      <w:marBottom w:val="0"/>
      <w:divBdr>
        <w:top w:val="none" w:sz="0" w:space="0" w:color="auto"/>
        <w:left w:val="none" w:sz="0" w:space="0" w:color="auto"/>
        <w:bottom w:val="none" w:sz="0" w:space="0" w:color="auto"/>
        <w:right w:val="none" w:sz="0" w:space="0" w:color="auto"/>
      </w:divBdr>
    </w:div>
    <w:div w:id="1329334489">
      <w:marLeft w:val="0"/>
      <w:marRight w:val="0"/>
      <w:marTop w:val="0"/>
      <w:marBottom w:val="0"/>
      <w:divBdr>
        <w:top w:val="none" w:sz="0" w:space="0" w:color="auto"/>
        <w:left w:val="none" w:sz="0" w:space="0" w:color="auto"/>
        <w:bottom w:val="none" w:sz="0" w:space="0" w:color="auto"/>
        <w:right w:val="none" w:sz="0" w:space="0" w:color="auto"/>
      </w:divBdr>
    </w:div>
    <w:div w:id="1329334490">
      <w:marLeft w:val="0"/>
      <w:marRight w:val="0"/>
      <w:marTop w:val="0"/>
      <w:marBottom w:val="0"/>
      <w:divBdr>
        <w:top w:val="none" w:sz="0" w:space="0" w:color="auto"/>
        <w:left w:val="none" w:sz="0" w:space="0" w:color="auto"/>
        <w:bottom w:val="none" w:sz="0" w:space="0" w:color="auto"/>
        <w:right w:val="none" w:sz="0" w:space="0" w:color="auto"/>
      </w:divBdr>
    </w:div>
    <w:div w:id="1329334491">
      <w:marLeft w:val="0"/>
      <w:marRight w:val="0"/>
      <w:marTop w:val="0"/>
      <w:marBottom w:val="0"/>
      <w:divBdr>
        <w:top w:val="none" w:sz="0" w:space="0" w:color="auto"/>
        <w:left w:val="none" w:sz="0" w:space="0" w:color="auto"/>
        <w:bottom w:val="none" w:sz="0" w:space="0" w:color="auto"/>
        <w:right w:val="none" w:sz="0" w:space="0" w:color="auto"/>
      </w:divBdr>
    </w:div>
    <w:div w:id="1329334492">
      <w:marLeft w:val="0"/>
      <w:marRight w:val="0"/>
      <w:marTop w:val="0"/>
      <w:marBottom w:val="0"/>
      <w:divBdr>
        <w:top w:val="none" w:sz="0" w:space="0" w:color="auto"/>
        <w:left w:val="none" w:sz="0" w:space="0" w:color="auto"/>
        <w:bottom w:val="none" w:sz="0" w:space="0" w:color="auto"/>
        <w:right w:val="none" w:sz="0" w:space="0" w:color="auto"/>
      </w:divBdr>
    </w:div>
    <w:div w:id="1329334493">
      <w:marLeft w:val="0"/>
      <w:marRight w:val="0"/>
      <w:marTop w:val="0"/>
      <w:marBottom w:val="0"/>
      <w:divBdr>
        <w:top w:val="none" w:sz="0" w:space="0" w:color="auto"/>
        <w:left w:val="none" w:sz="0" w:space="0" w:color="auto"/>
        <w:bottom w:val="none" w:sz="0" w:space="0" w:color="auto"/>
        <w:right w:val="none" w:sz="0" w:space="0" w:color="auto"/>
      </w:divBdr>
    </w:div>
    <w:div w:id="1329334494">
      <w:marLeft w:val="0"/>
      <w:marRight w:val="0"/>
      <w:marTop w:val="0"/>
      <w:marBottom w:val="0"/>
      <w:divBdr>
        <w:top w:val="none" w:sz="0" w:space="0" w:color="auto"/>
        <w:left w:val="none" w:sz="0" w:space="0" w:color="auto"/>
        <w:bottom w:val="none" w:sz="0" w:space="0" w:color="auto"/>
        <w:right w:val="none" w:sz="0" w:space="0" w:color="auto"/>
      </w:divBdr>
    </w:div>
    <w:div w:id="1329334495">
      <w:marLeft w:val="0"/>
      <w:marRight w:val="0"/>
      <w:marTop w:val="0"/>
      <w:marBottom w:val="0"/>
      <w:divBdr>
        <w:top w:val="none" w:sz="0" w:space="0" w:color="auto"/>
        <w:left w:val="none" w:sz="0" w:space="0" w:color="auto"/>
        <w:bottom w:val="none" w:sz="0" w:space="0" w:color="auto"/>
        <w:right w:val="none" w:sz="0" w:space="0" w:color="auto"/>
      </w:divBdr>
    </w:div>
    <w:div w:id="1329334496">
      <w:marLeft w:val="0"/>
      <w:marRight w:val="0"/>
      <w:marTop w:val="0"/>
      <w:marBottom w:val="0"/>
      <w:divBdr>
        <w:top w:val="none" w:sz="0" w:space="0" w:color="auto"/>
        <w:left w:val="none" w:sz="0" w:space="0" w:color="auto"/>
        <w:bottom w:val="none" w:sz="0" w:space="0" w:color="auto"/>
        <w:right w:val="none" w:sz="0" w:space="0" w:color="auto"/>
      </w:divBdr>
    </w:div>
    <w:div w:id="1329334497">
      <w:marLeft w:val="0"/>
      <w:marRight w:val="0"/>
      <w:marTop w:val="0"/>
      <w:marBottom w:val="0"/>
      <w:divBdr>
        <w:top w:val="none" w:sz="0" w:space="0" w:color="auto"/>
        <w:left w:val="none" w:sz="0" w:space="0" w:color="auto"/>
        <w:bottom w:val="none" w:sz="0" w:space="0" w:color="auto"/>
        <w:right w:val="none" w:sz="0" w:space="0" w:color="auto"/>
      </w:divBdr>
    </w:div>
    <w:div w:id="1329334498">
      <w:marLeft w:val="0"/>
      <w:marRight w:val="0"/>
      <w:marTop w:val="0"/>
      <w:marBottom w:val="0"/>
      <w:divBdr>
        <w:top w:val="none" w:sz="0" w:space="0" w:color="auto"/>
        <w:left w:val="none" w:sz="0" w:space="0" w:color="auto"/>
        <w:bottom w:val="none" w:sz="0" w:space="0" w:color="auto"/>
        <w:right w:val="none" w:sz="0" w:space="0" w:color="auto"/>
      </w:divBdr>
    </w:div>
    <w:div w:id="1329334499">
      <w:marLeft w:val="0"/>
      <w:marRight w:val="0"/>
      <w:marTop w:val="0"/>
      <w:marBottom w:val="0"/>
      <w:divBdr>
        <w:top w:val="none" w:sz="0" w:space="0" w:color="auto"/>
        <w:left w:val="none" w:sz="0" w:space="0" w:color="auto"/>
        <w:bottom w:val="none" w:sz="0" w:space="0" w:color="auto"/>
        <w:right w:val="none" w:sz="0" w:space="0" w:color="auto"/>
      </w:divBdr>
    </w:div>
    <w:div w:id="1329334500">
      <w:marLeft w:val="0"/>
      <w:marRight w:val="0"/>
      <w:marTop w:val="0"/>
      <w:marBottom w:val="0"/>
      <w:divBdr>
        <w:top w:val="none" w:sz="0" w:space="0" w:color="auto"/>
        <w:left w:val="none" w:sz="0" w:space="0" w:color="auto"/>
        <w:bottom w:val="none" w:sz="0" w:space="0" w:color="auto"/>
        <w:right w:val="none" w:sz="0" w:space="0" w:color="auto"/>
      </w:divBdr>
    </w:div>
    <w:div w:id="164824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6924</Words>
  <Characters>40855</Characters>
  <Application>Microsoft Office Word</Application>
  <DocSecurity>4</DocSecurity>
  <Lines>340</Lines>
  <Paragraphs>95</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47684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Steinová Gabriela</cp:lastModifiedBy>
  <cp:revision>2</cp:revision>
  <cp:lastPrinted>2016-05-19T08:58:00Z</cp:lastPrinted>
  <dcterms:created xsi:type="dcterms:W3CDTF">2018-11-26T13:56:00Z</dcterms:created>
  <dcterms:modified xsi:type="dcterms:W3CDTF">2018-11-26T13:56:00Z</dcterms:modified>
</cp:coreProperties>
</file>